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45D" w:rsidRDefault="0017345D" w:rsidP="0017345D">
      <w:pPr>
        <w:jc w:val="center"/>
        <w:rPr>
          <w:b/>
          <w:sz w:val="26"/>
          <w:szCs w:val="26"/>
          <w:lang w:val="uk-UA"/>
        </w:rPr>
      </w:pPr>
      <w:r>
        <w:rPr>
          <w:b/>
          <w:sz w:val="26"/>
          <w:szCs w:val="26"/>
          <w:lang w:val="uk-UA"/>
        </w:rPr>
        <w:t>Комітет Верховної Ради України з питань боротьби із організованою злочинністю та корупцією</w:t>
      </w:r>
    </w:p>
    <w:p w:rsidR="0017345D" w:rsidRDefault="0017345D" w:rsidP="0017345D">
      <w:pPr>
        <w:jc w:val="center"/>
        <w:rPr>
          <w:b/>
          <w:sz w:val="28"/>
          <w:szCs w:val="28"/>
          <w:lang w:val="uk-UA"/>
        </w:rPr>
      </w:pPr>
      <w:r w:rsidRPr="00265D18">
        <w:rPr>
          <w:b/>
          <w:sz w:val="28"/>
          <w:szCs w:val="28"/>
          <w:lang w:val="uk-UA"/>
        </w:rPr>
        <w:t>Громадська експертна рада</w:t>
      </w:r>
    </w:p>
    <w:p w:rsidR="0017345D" w:rsidRDefault="0017345D" w:rsidP="0017345D">
      <w:pPr>
        <w:jc w:val="center"/>
        <w:rPr>
          <w:b/>
          <w:sz w:val="26"/>
          <w:szCs w:val="26"/>
          <w:lang w:val="uk-UA"/>
        </w:rPr>
      </w:pPr>
    </w:p>
    <w:p w:rsidR="0017345D" w:rsidRPr="00E55B93" w:rsidRDefault="0017345D" w:rsidP="0017345D">
      <w:pPr>
        <w:jc w:val="center"/>
        <w:rPr>
          <w:b/>
          <w:sz w:val="26"/>
          <w:szCs w:val="26"/>
          <w:lang w:val="uk-UA"/>
        </w:rPr>
      </w:pPr>
      <w:r>
        <w:rPr>
          <w:b/>
          <w:sz w:val="26"/>
          <w:szCs w:val="26"/>
          <w:lang w:val="uk-UA"/>
        </w:rPr>
        <w:t>Р</w:t>
      </w:r>
      <w:r w:rsidRPr="00E55B93">
        <w:rPr>
          <w:b/>
          <w:sz w:val="26"/>
          <w:szCs w:val="26"/>
          <w:lang w:val="uk-UA"/>
        </w:rPr>
        <w:t xml:space="preserve">езультати громадської антикорупційної експертизи </w:t>
      </w:r>
    </w:p>
    <w:p w:rsidR="0017345D" w:rsidRDefault="0017345D" w:rsidP="0017345D">
      <w:pPr>
        <w:spacing w:after="0" w:line="240" w:lineRule="auto"/>
        <w:rPr>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7195"/>
      </w:tblGrid>
      <w:tr w:rsidR="0017345D" w:rsidTr="00582DB0">
        <w:tc>
          <w:tcPr>
            <w:tcW w:w="2376" w:type="dxa"/>
            <w:tcBorders>
              <w:bottom w:val="single" w:sz="4" w:space="0" w:color="auto"/>
            </w:tcBorders>
          </w:tcPr>
          <w:p w:rsidR="0017345D" w:rsidRPr="00E55B93" w:rsidRDefault="0017345D" w:rsidP="00582DB0">
            <w:pPr>
              <w:rPr>
                <w:b/>
                <w:sz w:val="24"/>
                <w:szCs w:val="24"/>
                <w:lang w:val="uk-UA"/>
              </w:rPr>
            </w:pPr>
            <w:r w:rsidRPr="00E55B93">
              <w:rPr>
                <w:b/>
                <w:sz w:val="24"/>
                <w:szCs w:val="24"/>
                <w:lang w:val="uk-UA"/>
              </w:rPr>
              <w:t>Назва законопроекту</w:t>
            </w:r>
          </w:p>
        </w:tc>
        <w:tc>
          <w:tcPr>
            <w:tcW w:w="7195" w:type="dxa"/>
            <w:tcBorders>
              <w:bottom w:val="single" w:sz="4" w:space="0" w:color="auto"/>
            </w:tcBorders>
          </w:tcPr>
          <w:p w:rsidR="0017345D" w:rsidRPr="00F55EC4" w:rsidRDefault="0017345D" w:rsidP="00582DB0">
            <w:pPr>
              <w:rPr>
                <w:sz w:val="24"/>
                <w:szCs w:val="24"/>
                <w:lang w:val="uk-UA"/>
              </w:rPr>
            </w:pPr>
            <w:r w:rsidRPr="00824DCA">
              <w:rPr>
                <w:rFonts w:eastAsia="Calibri" w:cs="Times New Roman"/>
                <w:sz w:val="24"/>
                <w:szCs w:val="24"/>
                <w:lang w:val="uk-UA"/>
              </w:rPr>
              <w:t>Про внесення змін до деяких законодавчих актів України щодо вдосконалення правового регулювання користування землею</w:t>
            </w:r>
          </w:p>
        </w:tc>
      </w:tr>
      <w:tr w:rsidR="0017345D" w:rsidTr="00582DB0">
        <w:tc>
          <w:tcPr>
            <w:tcW w:w="2376" w:type="dxa"/>
            <w:tcBorders>
              <w:top w:val="single" w:sz="4" w:space="0" w:color="auto"/>
              <w:bottom w:val="single" w:sz="4" w:space="0" w:color="auto"/>
            </w:tcBorders>
          </w:tcPr>
          <w:p w:rsidR="0017345D" w:rsidRPr="00E55B93" w:rsidRDefault="0017345D" w:rsidP="00582DB0">
            <w:pPr>
              <w:tabs>
                <w:tab w:val="left" w:pos="2085"/>
              </w:tabs>
              <w:rPr>
                <w:b/>
                <w:sz w:val="24"/>
                <w:szCs w:val="24"/>
                <w:lang w:val="uk-UA"/>
              </w:rPr>
            </w:pPr>
            <w:r w:rsidRPr="00E55B93">
              <w:rPr>
                <w:b/>
                <w:sz w:val="24"/>
                <w:szCs w:val="24"/>
                <w:lang w:val="uk-UA"/>
              </w:rPr>
              <w:t>Номер законопроекту</w:t>
            </w:r>
          </w:p>
        </w:tc>
        <w:tc>
          <w:tcPr>
            <w:tcW w:w="7195" w:type="dxa"/>
            <w:tcBorders>
              <w:top w:val="single" w:sz="4" w:space="0" w:color="auto"/>
              <w:bottom w:val="single" w:sz="4" w:space="0" w:color="auto"/>
            </w:tcBorders>
          </w:tcPr>
          <w:p w:rsidR="0017345D" w:rsidRDefault="0017345D" w:rsidP="00582DB0">
            <w:pPr>
              <w:rPr>
                <w:sz w:val="24"/>
                <w:szCs w:val="24"/>
                <w:lang w:val="uk-UA"/>
              </w:rPr>
            </w:pPr>
          </w:p>
          <w:p w:rsidR="0017345D" w:rsidRDefault="0017345D" w:rsidP="00582DB0">
            <w:pPr>
              <w:rPr>
                <w:sz w:val="24"/>
                <w:szCs w:val="24"/>
                <w:lang w:val="uk-UA"/>
              </w:rPr>
            </w:pPr>
            <w:r>
              <w:rPr>
                <w:sz w:val="24"/>
                <w:szCs w:val="24"/>
                <w:lang w:val="uk-UA"/>
              </w:rPr>
              <w:t>2583а</w:t>
            </w:r>
          </w:p>
        </w:tc>
      </w:tr>
      <w:tr w:rsidR="0017345D" w:rsidTr="00582DB0">
        <w:tc>
          <w:tcPr>
            <w:tcW w:w="2376" w:type="dxa"/>
            <w:tcBorders>
              <w:top w:val="single" w:sz="4" w:space="0" w:color="auto"/>
              <w:bottom w:val="single" w:sz="4" w:space="0" w:color="auto"/>
            </w:tcBorders>
          </w:tcPr>
          <w:p w:rsidR="0017345D" w:rsidRPr="00E55B93" w:rsidRDefault="0017345D" w:rsidP="00582DB0">
            <w:pPr>
              <w:rPr>
                <w:b/>
                <w:sz w:val="24"/>
                <w:szCs w:val="24"/>
                <w:lang w:val="uk-UA"/>
              </w:rPr>
            </w:pPr>
            <w:r w:rsidRPr="00E55B93">
              <w:rPr>
                <w:b/>
                <w:sz w:val="24"/>
                <w:szCs w:val="24"/>
                <w:lang w:val="uk-UA"/>
              </w:rPr>
              <w:t>Дата реєстрації</w:t>
            </w:r>
          </w:p>
        </w:tc>
        <w:tc>
          <w:tcPr>
            <w:tcW w:w="7195" w:type="dxa"/>
            <w:tcBorders>
              <w:top w:val="single" w:sz="4" w:space="0" w:color="auto"/>
              <w:bottom w:val="single" w:sz="4" w:space="0" w:color="auto"/>
            </w:tcBorders>
          </w:tcPr>
          <w:p w:rsidR="0017345D" w:rsidRDefault="0017345D" w:rsidP="00582DB0">
            <w:pPr>
              <w:rPr>
                <w:sz w:val="24"/>
                <w:szCs w:val="24"/>
                <w:lang w:val="uk-UA"/>
              </w:rPr>
            </w:pPr>
            <w:r>
              <w:rPr>
                <w:sz w:val="24"/>
                <w:szCs w:val="24"/>
                <w:lang w:val="uk-UA"/>
              </w:rPr>
              <w:t>12.07.2013</w:t>
            </w:r>
          </w:p>
        </w:tc>
      </w:tr>
      <w:tr w:rsidR="0017345D" w:rsidTr="00582DB0">
        <w:tc>
          <w:tcPr>
            <w:tcW w:w="2376" w:type="dxa"/>
            <w:tcBorders>
              <w:top w:val="single" w:sz="4" w:space="0" w:color="auto"/>
              <w:bottom w:val="single" w:sz="4" w:space="0" w:color="auto"/>
            </w:tcBorders>
          </w:tcPr>
          <w:p w:rsidR="0017345D" w:rsidRPr="00E55B93" w:rsidRDefault="0017345D" w:rsidP="00582DB0">
            <w:pPr>
              <w:rPr>
                <w:b/>
                <w:sz w:val="24"/>
                <w:szCs w:val="24"/>
                <w:lang w:val="uk-UA"/>
              </w:rPr>
            </w:pPr>
            <w:r w:rsidRPr="00E55B93">
              <w:rPr>
                <w:b/>
                <w:sz w:val="24"/>
                <w:szCs w:val="24"/>
                <w:lang w:val="uk-UA"/>
              </w:rPr>
              <w:t>Автор законопроекту</w:t>
            </w:r>
          </w:p>
        </w:tc>
        <w:tc>
          <w:tcPr>
            <w:tcW w:w="7195" w:type="dxa"/>
            <w:tcBorders>
              <w:top w:val="single" w:sz="4" w:space="0" w:color="auto"/>
              <w:bottom w:val="single" w:sz="4" w:space="0" w:color="auto"/>
            </w:tcBorders>
          </w:tcPr>
          <w:p w:rsidR="0017345D" w:rsidRDefault="0017345D" w:rsidP="00582DB0">
            <w:pPr>
              <w:rPr>
                <w:sz w:val="24"/>
                <w:szCs w:val="24"/>
                <w:lang w:val="uk-UA"/>
              </w:rPr>
            </w:pPr>
            <w:r>
              <w:rPr>
                <w:sz w:val="24"/>
                <w:szCs w:val="24"/>
                <w:lang w:val="uk-UA"/>
              </w:rPr>
              <w:t>Народний депутат В.В.Бондар, член фракції Партії регіонів</w:t>
            </w:r>
          </w:p>
        </w:tc>
      </w:tr>
      <w:tr w:rsidR="0017345D" w:rsidRPr="008E4B5C" w:rsidTr="00582DB0">
        <w:trPr>
          <w:trHeight w:val="774"/>
        </w:trPr>
        <w:tc>
          <w:tcPr>
            <w:tcW w:w="2376" w:type="dxa"/>
            <w:tcBorders>
              <w:top w:val="single" w:sz="4" w:space="0" w:color="auto"/>
              <w:bottom w:val="single" w:sz="4" w:space="0" w:color="auto"/>
            </w:tcBorders>
          </w:tcPr>
          <w:p w:rsidR="0017345D" w:rsidRPr="00E55B93" w:rsidRDefault="0017345D" w:rsidP="00582DB0">
            <w:pPr>
              <w:rPr>
                <w:b/>
                <w:sz w:val="24"/>
                <w:szCs w:val="24"/>
                <w:lang w:val="uk-UA"/>
              </w:rPr>
            </w:pPr>
            <w:r w:rsidRPr="00E55B93">
              <w:rPr>
                <w:b/>
                <w:sz w:val="24"/>
                <w:szCs w:val="24"/>
                <w:lang w:val="uk-UA"/>
              </w:rPr>
              <w:t>Головний комітет ВРУ</w:t>
            </w:r>
          </w:p>
        </w:tc>
        <w:tc>
          <w:tcPr>
            <w:tcW w:w="7195" w:type="dxa"/>
            <w:tcBorders>
              <w:top w:val="single" w:sz="4" w:space="0" w:color="auto"/>
              <w:bottom w:val="single" w:sz="4" w:space="0" w:color="auto"/>
            </w:tcBorders>
          </w:tcPr>
          <w:p w:rsidR="0017345D" w:rsidRPr="0017345D" w:rsidRDefault="0017345D" w:rsidP="0017345D">
            <w:pPr>
              <w:rPr>
                <w:sz w:val="24"/>
                <w:szCs w:val="24"/>
                <w:lang w:val="uk-UA"/>
              </w:rPr>
            </w:pPr>
            <w:r>
              <w:rPr>
                <w:sz w:val="24"/>
                <w:szCs w:val="24"/>
                <w:lang w:val="uk-UA"/>
              </w:rPr>
              <w:t>Комітет з питань аграрної політики та земельних відносин</w:t>
            </w:r>
          </w:p>
        </w:tc>
      </w:tr>
      <w:tr w:rsidR="0017345D" w:rsidTr="00582DB0">
        <w:tc>
          <w:tcPr>
            <w:tcW w:w="2376" w:type="dxa"/>
            <w:tcBorders>
              <w:top w:val="single" w:sz="4" w:space="0" w:color="auto"/>
              <w:bottom w:val="single" w:sz="4" w:space="0" w:color="auto"/>
            </w:tcBorders>
          </w:tcPr>
          <w:p w:rsidR="0017345D" w:rsidRPr="00E55B93" w:rsidRDefault="0017345D" w:rsidP="00582DB0">
            <w:pPr>
              <w:rPr>
                <w:b/>
                <w:sz w:val="24"/>
                <w:szCs w:val="24"/>
                <w:lang w:val="uk-UA"/>
              </w:rPr>
            </w:pPr>
            <w:r w:rsidRPr="00E55B93">
              <w:rPr>
                <w:b/>
                <w:sz w:val="24"/>
                <w:szCs w:val="24"/>
                <w:lang w:val="uk-UA"/>
              </w:rPr>
              <w:t>Етап проходження</w:t>
            </w:r>
          </w:p>
        </w:tc>
        <w:tc>
          <w:tcPr>
            <w:tcW w:w="7195" w:type="dxa"/>
            <w:tcBorders>
              <w:top w:val="single" w:sz="4" w:space="0" w:color="auto"/>
              <w:bottom w:val="single" w:sz="4" w:space="0" w:color="auto"/>
            </w:tcBorders>
          </w:tcPr>
          <w:p w:rsidR="0017345D" w:rsidRDefault="0017345D" w:rsidP="00582DB0">
            <w:pPr>
              <w:rPr>
                <w:sz w:val="24"/>
                <w:szCs w:val="24"/>
                <w:lang w:val="uk-UA"/>
              </w:rPr>
            </w:pPr>
            <w:r>
              <w:rPr>
                <w:sz w:val="24"/>
                <w:szCs w:val="24"/>
                <w:lang w:val="uk-UA"/>
              </w:rPr>
              <w:t>Надано для ознайомлення членам Комітету (17.07.2013)</w:t>
            </w:r>
          </w:p>
        </w:tc>
      </w:tr>
      <w:tr w:rsidR="0017345D" w:rsidTr="00582DB0">
        <w:tc>
          <w:tcPr>
            <w:tcW w:w="2376" w:type="dxa"/>
            <w:tcBorders>
              <w:top w:val="single" w:sz="4" w:space="0" w:color="auto"/>
              <w:bottom w:val="single" w:sz="4" w:space="0" w:color="auto"/>
            </w:tcBorders>
          </w:tcPr>
          <w:p w:rsidR="0017345D" w:rsidRPr="00E55B93" w:rsidRDefault="0017345D" w:rsidP="00582DB0">
            <w:pPr>
              <w:rPr>
                <w:b/>
                <w:sz w:val="24"/>
                <w:szCs w:val="24"/>
                <w:lang w:val="uk-UA"/>
              </w:rPr>
            </w:pPr>
            <w:r w:rsidRPr="00E55B93">
              <w:rPr>
                <w:b/>
                <w:sz w:val="24"/>
                <w:szCs w:val="24"/>
                <w:lang w:val="uk-UA"/>
              </w:rPr>
              <w:t>Висновок Головного науково-експертного управління ВРУ</w:t>
            </w:r>
          </w:p>
        </w:tc>
        <w:tc>
          <w:tcPr>
            <w:tcW w:w="7195" w:type="dxa"/>
            <w:tcBorders>
              <w:top w:val="single" w:sz="4" w:space="0" w:color="auto"/>
              <w:bottom w:val="single" w:sz="4" w:space="0" w:color="auto"/>
            </w:tcBorders>
          </w:tcPr>
          <w:p w:rsidR="0017345D" w:rsidRPr="0017345D" w:rsidRDefault="0017345D" w:rsidP="0017345D">
            <w:pPr>
              <w:rPr>
                <w:b/>
                <w:sz w:val="24"/>
                <w:szCs w:val="24"/>
                <w:lang w:val="uk-UA"/>
              </w:rPr>
            </w:pPr>
            <w:r w:rsidRPr="0017345D">
              <w:rPr>
                <w:rFonts w:cs="Times New Roman"/>
                <w:sz w:val="24"/>
                <w:szCs w:val="24"/>
                <w:lang w:val="uk-UA"/>
              </w:rPr>
              <w:t>З</w:t>
            </w:r>
            <w:r w:rsidRPr="0017345D">
              <w:rPr>
                <w:rFonts w:ascii="Calibri" w:eastAsia="Calibri" w:hAnsi="Calibri" w:cs="Times New Roman"/>
                <w:sz w:val="24"/>
                <w:szCs w:val="24"/>
                <w:lang w:val="uk-UA"/>
              </w:rPr>
              <w:t>а результатами розгляду у першому читанні законопроект направити на доопрацювання</w:t>
            </w:r>
            <w:r w:rsidRPr="0017345D">
              <w:rPr>
                <w:rFonts w:cs="Times New Roman"/>
                <w:sz w:val="24"/>
                <w:szCs w:val="24"/>
                <w:lang w:val="uk-UA"/>
              </w:rPr>
              <w:t xml:space="preserve"> (від 09.09.2013)</w:t>
            </w:r>
          </w:p>
        </w:tc>
      </w:tr>
      <w:tr w:rsidR="0017345D" w:rsidTr="00582DB0">
        <w:tc>
          <w:tcPr>
            <w:tcW w:w="2376" w:type="dxa"/>
            <w:tcBorders>
              <w:top w:val="single" w:sz="4" w:space="0" w:color="auto"/>
              <w:bottom w:val="single" w:sz="4" w:space="0" w:color="auto"/>
            </w:tcBorders>
          </w:tcPr>
          <w:p w:rsidR="0017345D" w:rsidRPr="00E55B93" w:rsidRDefault="0017345D" w:rsidP="00582DB0">
            <w:pPr>
              <w:rPr>
                <w:b/>
                <w:sz w:val="24"/>
                <w:szCs w:val="24"/>
                <w:lang w:val="uk-UA"/>
              </w:rPr>
            </w:pPr>
            <w:r>
              <w:rPr>
                <w:b/>
                <w:sz w:val="24"/>
                <w:szCs w:val="24"/>
                <w:lang w:val="uk-UA"/>
              </w:rPr>
              <w:t>Висновок профільного Комітету ВРУ</w:t>
            </w:r>
          </w:p>
        </w:tc>
        <w:tc>
          <w:tcPr>
            <w:tcW w:w="7195" w:type="dxa"/>
            <w:tcBorders>
              <w:top w:val="single" w:sz="4" w:space="0" w:color="auto"/>
              <w:bottom w:val="single" w:sz="4" w:space="0" w:color="auto"/>
            </w:tcBorders>
          </w:tcPr>
          <w:p w:rsidR="0017345D" w:rsidRPr="0017345D" w:rsidRDefault="0017345D" w:rsidP="00582DB0">
            <w:pPr>
              <w:rPr>
                <w:sz w:val="24"/>
                <w:szCs w:val="24"/>
                <w:lang w:val="uk-UA"/>
              </w:rPr>
            </w:pPr>
            <w:r w:rsidRPr="0017345D">
              <w:rPr>
                <w:sz w:val="24"/>
                <w:szCs w:val="24"/>
                <w:lang w:val="uk-UA"/>
              </w:rPr>
              <w:t xml:space="preserve">Відсутній </w:t>
            </w:r>
          </w:p>
        </w:tc>
      </w:tr>
      <w:tr w:rsidR="0017345D" w:rsidRPr="00A6087D" w:rsidTr="00582DB0">
        <w:tc>
          <w:tcPr>
            <w:tcW w:w="2376" w:type="dxa"/>
            <w:tcBorders>
              <w:top w:val="single" w:sz="4" w:space="0" w:color="auto"/>
            </w:tcBorders>
          </w:tcPr>
          <w:p w:rsidR="0017345D" w:rsidRPr="00E55B93" w:rsidRDefault="0017345D" w:rsidP="00582DB0">
            <w:pPr>
              <w:rPr>
                <w:b/>
                <w:sz w:val="24"/>
                <w:szCs w:val="24"/>
                <w:lang w:val="uk-UA"/>
              </w:rPr>
            </w:pPr>
            <w:proofErr w:type="spellStart"/>
            <w:r>
              <w:rPr>
                <w:b/>
                <w:sz w:val="24"/>
                <w:szCs w:val="24"/>
                <w:lang w:val="uk-UA"/>
              </w:rPr>
              <w:t>Веб-адреса</w:t>
            </w:r>
            <w:proofErr w:type="spellEnd"/>
            <w:r>
              <w:rPr>
                <w:b/>
                <w:sz w:val="24"/>
                <w:szCs w:val="24"/>
                <w:lang w:val="uk-UA"/>
              </w:rPr>
              <w:t xml:space="preserve"> картки законопроекту на сервері ВРУ</w:t>
            </w:r>
          </w:p>
        </w:tc>
        <w:tc>
          <w:tcPr>
            <w:tcW w:w="7195" w:type="dxa"/>
            <w:tcBorders>
              <w:top w:val="single" w:sz="4" w:space="0" w:color="auto"/>
            </w:tcBorders>
          </w:tcPr>
          <w:p w:rsidR="0017345D" w:rsidRDefault="008E5623" w:rsidP="00582DB0">
            <w:pPr>
              <w:rPr>
                <w:sz w:val="24"/>
                <w:szCs w:val="24"/>
                <w:lang w:val="uk-UA"/>
              </w:rPr>
            </w:pPr>
            <w:hyperlink r:id="rId5" w:history="1">
              <w:r w:rsidR="0017345D">
                <w:rPr>
                  <w:rStyle w:val="a4"/>
                </w:rPr>
                <w:t>http</w:t>
              </w:r>
              <w:r w:rsidR="0017345D" w:rsidRPr="0017345D">
                <w:rPr>
                  <w:rStyle w:val="a4"/>
                  <w:lang w:val="uk-UA"/>
                </w:rPr>
                <w:t>://</w:t>
              </w:r>
              <w:r w:rsidR="0017345D">
                <w:rPr>
                  <w:rStyle w:val="a4"/>
                </w:rPr>
                <w:t>w</w:t>
              </w:r>
              <w:r w:rsidR="0017345D" w:rsidRPr="0017345D">
                <w:rPr>
                  <w:rStyle w:val="a4"/>
                  <w:lang w:val="uk-UA"/>
                </w:rPr>
                <w:t>1.</w:t>
              </w:r>
              <w:r w:rsidR="0017345D">
                <w:rPr>
                  <w:rStyle w:val="a4"/>
                </w:rPr>
                <w:t>c</w:t>
              </w:r>
              <w:r w:rsidR="0017345D" w:rsidRPr="0017345D">
                <w:rPr>
                  <w:rStyle w:val="a4"/>
                  <w:lang w:val="uk-UA"/>
                </w:rPr>
                <w:t>1.</w:t>
              </w:r>
              <w:r w:rsidR="0017345D">
                <w:rPr>
                  <w:rStyle w:val="a4"/>
                </w:rPr>
                <w:t>rada</w:t>
              </w:r>
              <w:r w:rsidR="0017345D" w:rsidRPr="0017345D">
                <w:rPr>
                  <w:rStyle w:val="a4"/>
                  <w:lang w:val="uk-UA"/>
                </w:rPr>
                <w:t>.</w:t>
              </w:r>
              <w:r w:rsidR="0017345D">
                <w:rPr>
                  <w:rStyle w:val="a4"/>
                </w:rPr>
                <w:t>gov</w:t>
              </w:r>
              <w:r w:rsidR="0017345D" w:rsidRPr="0017345D">
                <w:rPr>
                  <w:rStyle w:val="a4"/>
                  <w:lang w:val="uk-UA"/>
                </w:rPr>
                <w:t>.</w:t>
              </w:r>
              <w:r w:rsidR="0017345D">
                <w:rPr>
                  <w:rStyle w:val="a4"/>
                </w:rPr>
                <w:t>ua</w:t>
              </w:r>
              <w:r w:rsidR="0017345D" w:rsidRPr="0017345D">
                <w:rPr>
                  <w:rStyle w:val="a4"/>
                  <w:lang w:val="uk-UA"/>
                </w:rPr>
                <w:t>/</w:t>
              </w:r>
              <w:r w:rsidR="0017345D">
                <w:rPr>
                  <w:rStyle w:val="a4"/>
                </w:rPr>
                <w:t>pls</w:t>
              </w:r>
              <w:r w:rsidR="0017345D" w:rsidRPr="0017345D">
                <w:rPr>
                  <w:rStyle w:val="a4"/>
                  <w:lang w:val="uk-UA"/>
                </w:rPr>
                <w:t>/</w:t>
              </w:r>
              <w:r w:rsidR="0017345D">
                <w:rPr>
                  <w:rStyle w:val="a4"/>
                </w:rPr>
                <w:t>zweb</w:t>
              </w:r>
              <w:r w:rsidR="0017345D" w:rsidRPr="0017345D">
                <w:rPr>
                  <w:rStyle w:val="a4"/>
                  <w:lang w:val="uk-UA"/>
                </w:rPr>
                <w:t>2/</w:t>
              </w:r>
              <w:r w:rsidR="0017345D">
                <w:rPr>
                  <w:rStyle w:val="a4"/>
                </w:rPr>
                <w:t>webproc</w:t>
              </w:r>
              <w:r w:rsidR="0017345D" w:rsidRPr="0017345D">
                <w:rPr>
                  <w:rStyle w:val="a4"/>
                  <w:lang w:val="uk-UA"/>
                </w:rPr>
                <w:t>4_1?</w:t>
              </w:r>
              <w:r w:rsidR="0017345D">
                <w:rPr>
                  <w:rStyle w:val="a4"/>
                </w:rPr>
                <w:t>pf</w:t>
              </w:r>
              <w:r w:rsidR="0017345D" w:rsidRPr="0017345D">
                <w:rPr>
                  <w:rStyle w:val="a4"/>
                  <w:lang w:val="uk-UA"/>
                </w:rPr>
                <w:t>3511=47900</w:t>
              </w:r>
            </w:hyperlink>
          </w:p>
        </w:tc>
      </w:tr>
      <w:tr w:rsidR="0017345D" w:rsidTr="00582DB0">
        <w:tc>
          <w:tcPr>
            <w:tcW w:w="2376" w:type="dxa"/>
            <w:tcBorders>
              <w:top w:val="single" w:sz="4" w:space="0" w:color="auto"/>
            </w:tcBorders>
          </w:tcPr>
          <w:p w:rsidR="0017345D" w:rsidRDefault="0017345D" w:rsidP="00582DB0">
            <w:pPr>
              <w:rPr>
                <w:b/>
                <w:sz w:val="24"/>
                <w:szCs w:val="24"/>
                <w:lang w:val="uk-UA"/>
              </w:rPr>
            </w:pPr>
            <w:r w:rsidRPr="00E55B93">
              <w:rPr>
                <w:b/>
                <w:sz w:val="24"/>
                <w:szCs w:val="24"/>
                <w:lang w:val="uk-UA"/>
              </w:rPr>
              <w:t xml:space="preserve">Висновок та рекомендації </w:t>
            </w:r>
          </w:p>
          <w:p w:rsidR="0017345D" w:rsidRPr="00E55B93" w:rsidRDefault="0017345D" w:rsidP="00582DB0">
            <w:pPr>
              <w:rPr>
                <w:b/>
                <w:sz w:val="24"/>
                <w:szCs w:val="24"/>
                <w:lang w:val="uk-UA"/>
              </w:rPr>
            </w:pPr>
            <w:r>
              <w:rPr>
                <w:b/>
                <w:sz w:val="24"/>
                <w:szCs w:val="24"/>
                <w:lang w:val="uk-UA"/>
              </w:rPr>
              <w:t>Громадської експертної ради</w:t>
            </w:r>
          </w:p>
        </w:tc>
        <w:tc>
          <w:tcPr>
            <w:tcW w:w="7195" w:type="dxa"/>
            <w:tcBorders>
              <w:top w:val="single" w:sz="4" w:space="0" w:color="auto"/>
            </w:tcBorders>
          </w:tcPr>
          <w:p w:rsidR="0017345D" w:rsidRDefault="0017345D" w:rsidP="00582DB0">
            <w:pPr>
              <w:rPr>
                <w:sz w:val="24"/>
                <w:szCs w:val="24"/>
                <w:lang w:val="uk-UA"/>
              </w:rPr>
            </w:pPr>
          </w:p>
          <w:p w:rsidR="0017345D" w:rsidRDefault="0017345D" w:rsidP="00582DB0">
            <w:pPr>
              <w:rPr>
                <w:b/>
                <w:sz w:val="24"/>
                <w:szCs w:val="24"/>
                <w:lang w:val="uk-UA"/>
              </w:rPr>
            </w:pPr>
            <w:r>
              <w:rPr>
                <w:b/>
                <w:sz w:val="24"/>
                <w:szCs w:val="24"/>
                <w:lang w:val="uk-UA"/>
              </w:rPr>
              <w:t>Виявлено корупційні ризики</w:t>
            </w:r>
          </w:p>
          <w:p w:rsidR="0017345D" w:rsidRDefault="0017345D" w:rsidP="00582DB0">
            <w:pPr>
              <w:rPr>
                <w:b/>
                <w:sz w:val="24"/>
                <w:szCs w:val="24"/>
                <w:lang w:val="uk-UA"/>
              </w:rPr>
            </w:pPr>
          </w:p>
          <w:p w:rsidR="0017345D" w:rsidRPr="00550EB6" w:rsidRDefault="0017345D" w:rsidP="00582DB0">
            <w:pPr>
              <w:rPr>
                <w:b/>
                <w:sz w:val="24"/>
                <w:szCs w:val="24"/>
                <w:lang w:val="uk-UA"/>
              </w:rPr>
            </w:pPr>
            <w:r>
              <w:rPr>
                <w:b/>
                <w:sz w:val="24"/>
                <w:szCs w:val="24"/>
                <w:lang w:val="uk-UA"/>
              </w:rPr>
              <w:t>Доопрацювати</w:t>
            </w:r>
            <w:r w:rsidRPr="00550EB6">
              <w:rPr>
                <w:b/>
                <w:sz w:val="24"/>
                <w:szCs w:val="24"/>
              </w:rPr>
              <w:t xml:space="preserve"> </w:t>
            </w:r>
            <w:r>
              <w:rPr>
                <w:b/>
                <w:sz w:val="24"/>
                <w:szCs w:val="24"/>
                <w:lang w:val="uk-UA"/>
              </w:rPr>
              <w:t>за результатами розгляду в першому читанні</w:t>
            </w:r>
          </w:p>
        </w:tc>
      </w:tr>
    </w:tbl>
    <w:p w:rsidR="0017345D" w:rsidRDefault="0017345D" w:rsidP="0017345D">
      <w:pPr>
        <w:spacing w:after="0" w:line="240" w:lineRule="auto"/>
        <w:rPr>
          <w:sz w:val="24"/>
          <w:szCs w:val="24"/>
          <w:lang w:val="uk-UA"/>
        </w:rPr>
      </w:pPr>
    </w:p>
    <w:p w:rsidR="0017345D" w:rsidRPr="00103934" w:rsidRDefault="0017345D" w:rsidP="0017345D">
      <w:pPr>
        <w:spacing w:after="0" w:line="240" w:lineRule="auto"/>
        <w:rPr>
          <w:sz w:val="24"/>
          <w:szCs w:val="24"/>
          <w:lang w:val="uk-UA"/>
        </w:rPr>
      </w:pPr>
    </w:p>
    <w:p w:rsidR="0017345D" w:rsidRPr="00103934" w:rsidRDefault="0017345D" w:rsidP="0017345D">
      <w:pPr>
        <w:spacing w:before="120" w:after="0" w:line="240" w:lineRule="auto"/>
        <w:rPr>
          <w:sz w:val="24"/>
          <w:szCs w:val="24"/>
          <w:lang w:val="uk-UA"/>
        </w:rPr>
      </w:pPr>
    </w:p>
    <w:p w:rsidR="0017345D" w:rsidRDefault="0017345D" w:rsidP="0017345D">
      <w:pPr>
        <w:jc w:val="right"/>
        <w:rPr>
          <w:sz w:val="26"/>
          <w:szCs w:val="24"/>
          <w:lang w:val="uk-UA"/>
        </w:rPr>
      </w:pPr>
      <w:r>
        <w:rPr>
          <w:sz w:val="26"/>
          <w:szCs w:val="24"/>
          <w:lang w:val="uk-UA"/>
        </w:rPr>
        <w:t>Виконавець</w:t>
      </w:r>
    </w:p>
    <w:p w:rsidR="0017345D" w:rsidRDefault="0017345D" w:rsidP="0017345D">
      <w:pPr>
        <w:spacing w:before="120" w:after="0" w:line="240" w:lineRule="auto"/>
        <w:jc w:val="right"/>
        <w:rPr>
          <w:sz w:val="24"/>
          <w:szCs w:val="24"/>
          <w:lang w:val="uk-UA"/>
        </w:rPr>
      </w:pPr>
      <w:r>
        <w:rPr>
          <w:sz w:val="24"/>
          <w:szCs w:val="24"/>
          <w:lang w:val="uk-UA"/>
        </w:rPr>
        <w:t xml:space="preserve">Головний експерт </w:t>
      </w:r>
    </w:p>
    <w:p w:rsidR="0017345D" w:rsidRDefault="0017345D" w:rsidP="0017345D">
      <w:pPr>
        <w:spacing w:before="120" w:after="0" w:line="240" w:lineRule="auto"/>
        <w:jc w:val="right"/>
        <w:rPr>
          <w:sz w:val="24"/>
          <w:szCs w:val="24"/>
          <w:lang w:val="uk-UA"/>
        </w:rPr>
      </w:pPr>
      <w:r>
        <w:rPr>
          <w:sz w:val="24"/>
          <w:szCs w:val="24"/>
          <w:lang w:val="uk-UA"/>
        </w:rPr>
        <w:t xml:space="preserve">Центру політичних студій та аналітики </w:t>
      </w:r>
    </w:p>
    <w:p w:rsidR="0017345D" w:rsidRDefault="0017345D" w:rsidP="0017345D">
      <w:pPr>
        <w:spacing w:before="120" w:after="0" w:line="240" w:lineRule="auto"/>
        <w:jc w:val="right"/>
        <w:rPr>
          <w:sz w:val="24"/>
          <w:szCs w:val="24"/>
          <w:lang w:val="uk-UA"/>
        </w:rPr>
      </w:pPr>
      <w:r>
        <w:rPr>
          <w:sz w:val="24"/>
          <w:szCs w:val="24"/>
          <w:lang w:val="uk-UA"/>
        </w:rPr>
        <w:t>з громадської антикорупційної експертизи</w:t>
      </w:r>
    </w:p>
    <w:p w:rsidR="0017345D" w:rsidRPr="004E3212" w:rsidRDefault="0017345D" w:rsidP="0017345D">
      <w:pPr>
        <w:spacing w:before="120" w:after="0" w:line="240" w:lineRule="auto"/>
        <w:jc w:val="right"/>
        <w:rPr>
          <w:sz w:val="24"/>
          <w:szCs w:val="24"/>
          <w:lang w:val="uk-UA"/>
        </w:rPr>
      </w:pPr>
      <w:r>
        <w:rPr>
          <w:sz w:val="24"/>
          <w:szCs w:val="24"/>
          <w:lang w:val="uk-UA"/>
        </w:rPr>
        <w:t xml:space="preserve">Андрій </w:t>
      </w:r>
      <w:proofErr w:type="spellStart"/>
      <w:r>
        <w:rPr>
          <w:sz w:val="24"/>
          <w:szCs w:val="24"/>
          <w:lang w:val="uk-UA"/>
        </w:rPr>
        <w:t>Марусов</w:t>
      </w:r>
      <w:proofErr w:type="spellEnd"/>
    </w:p>
    <w:p w:rsidR="0017345D" w:rsidRDefault="0017345D" w:rsidP="0017345D">
      <w:pPr>
        <w:spacing w:before="120" w:after="0" w:line="240" w:lineRule="auto"/>
        <w:rPr>
          <w:sz w:val="24"/>
          <w:szCs w:val="24"/>
          <w:lang w:val="uk-UA"/>
        </w:rPr>
      </w:pPr>
    </w:p>
    <w:p w:rsidR="0017345D" w:rsidRDefault="0017345D" w:rsidP="0017345D">
      <w:pPr>
        <w:rPr>
          <w:sz w:val="24"/>
          <w:szCs w:val="24"/>
          <w:lang w:val="uk-UA"/>
        </w:rPr>
      </w:pPr>
      <w:r>
        <w:rPr>
          <w:sz w:val="24"/>
          <w:szCs w:val="24"/>
          <w:lang w:val="uk-UA"/>
        </w:rPr>
        <w:br w:type="page"/>
      </w:r>
    </w:p>
    <w:p w:rsidR="0017345D" w:rsidRPr="00C24F10" w:rsidRDefault="0017345D" w:rsidP="0017345D">
      <w:pPr>
        <w:pStyle w:val="a5"/>
        <w:numPr>
          <w:ilvl w:val="0"/>
          <w:numId w:val="1"/>
        </w:numPr>
        <w:pBdr>
          <w:top w:val="single" w:sz="4" w:space="1" w:color="auto"/>
          <w:left w:val="single" w:sz="4" w:space="31" w:color="auto"/>
          <w:bottom w:val="single" w:sz="4" w:space="0" w:color="auto"/>
          <w:right w:val="single" w:sz="4" w:space="31" w:color="auto"/>
        </w:pBdr>
        <w:spacing w:before="120" w:after="0" w:line="240" w:lineRule="auto"/>
        <w:ind w:left="142" w:hanging="87"/>
        <w:contextualSpacing w:val="0"/>
        <w:rPr>
          <w:b/>
          <w:sz w:val="26"/>
          <w:szCs w:val="26"/>
        </w:rPr>
      </w:pPr>
      <w:r w:rsidRPr="00C24F10">
        <w:rPr>
          <w:b/>
          <w:sz w:val="26"/>
          <w:szCs w:val="26"/>
          <w:lang w:val="uk-UA"/>
        </w:rPr>
        <w:lastRenderedPageBreak/>
        <w:t>Короткий виклад результа</w:t>
      </w:r>
      <w:r>
        <w:rPr>
          <w:b/>
          <w:sz w:val="26"/>
          <w:szCs w:val="26"/>
          <w:lang w:val="uk-UA"/>
        </w:rPr>
        <w:t>тів громадської антикорупційної експертизи</w:t>
      </w:r>
    </w:p>
    <w:p w:rsidR="002A5EEB" w:rsidRDefault="0017345D" w:rsidP="002A5EEB">
      <w:pPr>
        <w:pStyle w:val="a5"/>
        <w:numPr>
          <w:ilvl w:val="0"/>
          <w:numId w:val="2"/>
        </w:numPr>
        <w:spacing w:before="120" w:after="0" w:line="240" w:lineRule="auto"/>
        <w:ind w:left="0" w:right="-711" w:firstLine="0"/>
        <w:contextualSpacing w:val="0"/>
        <w:rPr>
          <w:b/>
          <w:sz w:val="26"/>
          <w:szCs w:val="24"/>
          <w:lang w:val="uk-UA"/>
        </w:rPr>
      </w:pPr>
      <w:r>
        <w:rPr>
          <w:b/>
          <w:sz w:val="26"/>
          <w:szCs w:val="24"/>
          <w:lang w:val="uk-UA"/>
        </w:rPr>
        <w:t>Задекларована</w:t>
      </w:r>
      <w:r w:rsidRPr="005D4B7A">
        <w:rPr>
          <w:b/>
          <w:sz w:val="26"/>
          <w:szCs w:val="24"/>
          <w:lang w:val="uk-UA"/>
        </w:rPr>
        <w:t xml:space="preserve"> ціль та способи її досягнення: </w:t>
      </w:r>
    </w:p>
    <w:p w:rsidR="00795FE9" w:rsidRDefault="000F5058" w:rsidP="00795FE9">
      <w:pPr>
        <w:pStyle w:val="a7"/>
        <w:spacing w:before="120" w:beforeAutospacing="0" w:after="0"/>
        <w:jc w:val="both"/>
        <w:rPr>
          <w:rFonts w:asciiTheme="minorHAnsi" w:hAnsiTheme="minorHAnsi"/>
          <w:lang w:val="uk-UA"/>
        </w:rPr>
      </w:pPr>
      <w:r w:rsidRPr="000F5058">
        <w:rPr>
          <w:rFonts w:asciiTheme="minorHAnsi" w:hAnsiTheme="minorHAnsi"/>
          <w:b/>
          <w:lang w:val="uk-UA"/>
        </w:rPr>
        <w:t>Ціль:</w:t>
      </w:r>
      <w:r>
        <w:rPr>
          <w:rFonts w:asciiTheme="minorHAnsi" w:hAnsiTheme="minorHAnsi"/>
          <w:lang w:val="uk-UA"/>
        </w:rPr>
        <w:t xml:space="preserve"> </w:t>
      </w:r>
      <w:r w:rsidR="00795FE9">
        <w:rPr>
          <w:rFonts w:asciiTheme="minorHAnsi" w:hAnsiTheme="minorHAnsi"/>
          <w:lang w:val="uk-UA"/>
        </w:rPr>
        <w:t>Оптимальне правове</w:t>
      </w:r>
      <w:r w:rsidR="00795FE9" w:rsidRPr="00795FE9">
        <w:rPr>
          <w:rFonts w:asciiTheme="minorHAnsi" w:hAnsiTheme="minorHAnsi"/>
          <w:lang w:val="uk-UA"/>
        </w:rPr>
        <w:t xml:space="preserve"> регулювання відносин користування земельними ділянками, зокрема на умовах оренди земель </w:t>
      </w:r>
      <w:r w:rsidR="00795FE9" w:rsidRPr="00795FE9">
        <w:rPr>
          <w:rFonts w:asciiTheme="minorHAnsi" w:hAnsiTheme="minorHAnsi"/>
          <w:color w:val="000000"/>
          <w:lang w:val="uk-UA"/>
        </w:rPr>
        <w:t>сільськогосподарського призначення для ведення товарного сільськогосподарського виробництва</w:t>
      </w:r>
      <w:r w:rsidR="00795FE9" w:rsidRPr="00795FE9">
        <w:rPr>
          <w:rFonts w:asciiTheme="minorHAnsi" w:hAnsiTheme="minorHAnsi"/>
          <w:lang w:val="uk-UA"/>
        </w:rPr>
        <w:t>.</w:t>
      </w:r>
    </w:p>
    <w:p w:rsidR="00795FE9" w:rsidRPr="00795FE9" w:rsidRDefault="000F5058" w:rsidP="00795FE9">
      <w:pPr>
        <w:pStyle w:val="a7"/>
        <w:spacing w:before="120" w:beforeAutospacing="0" w:after="0"/>
        <w:jc w:val="both"/>
        <w:rPr>
          <w:rFonts w:asciiTheme="minorHAnsi" w:hAnsiTheme="minorHAnsi" w:cstheme="minorBidi"/>
          <w:b/>
          <w:lang w:val="uk-UA"/>
        </w:rPr>
      </w:pPr>
      <w:r w:rsidRPr="000F5058">
        <w:rPr>
          <w:rFonts w:asciiTheme="minorHAnsi" w:hAnsiTheme="minorHAnsi"/>
          <w:b/>
          <w:lang w:val="uk-UA"/>
        </w:rPr>
        <w:t>Спосіб:</w:t>
      </w:r>
      <w:r>
        <w:rPr>
          <w:rFonts w:asciiTheme="minorHAnsi" w:hAnsiTheme="minorHAnsi"/>
          <w:lang w:val="uk-UA"/>
        </w:rPr>
        <w:t xml:space="preserve"> </w:t>
      </w:r>
      <w:r w:rsidR="00795FE9" w:rsidRPr="00795FE9">
        <w:rPr>
          <w:rFonts w:asciiTheme="minorHAnsi" w:hAnsiTheme="minorHAnsi"/>
          <w:lang w:val="uk-UA"/>
        </w:rPr>
        <w:t xml:space="preserve">Цілі законопроекту досягаються через встановлення мінімального терміну дії договорів оренди земельних ділянок </w:t>
      </w:r>
      <w:r w:rsidR="00795FE9" w:rsidRPr="00795FE9">
        <w:rPr>
          <w:rFonts w:asciiTheme="minorHAnsi" w:hAnsiTheme="minorHAnsi"/>
          <w:color w:val="000000"/>
          <w:lang w:val="uk-UA"/>
        </w:rPr>
        <w:t>сільськогосподарського призначення для ведення товарного сільськогосподарського (</w:t>
      </w:r>
      <w:r w:rsidR="00795FE9" w:rsidRPr="00795FE9">
        <w:rPr>
          <w:rFonts w:asciiTheme="minorHAnsi" w:hAnsiTheme="minorHAnsi"/>
          <w:lang w:val="uk-UA"/>
        </w:rPr>
        <w:t xml:space="preserve">7 років), </w:t>
      </w:r>
      <w:r w:rsidR="00795FE9">
        <w:rPr>
          <w:rFonts w:asciiTheme="minorHAnsi" w:hAnsiTheme="minorHAnsi"/>
          <w:lang w:val="uk-UA"/>
        </w:rPr>
        <w:t xml:space="preserve">гармонізацію </w:t>
      </w:r>
      <w:r w:rsidR="00795FE9" w:rsidRPr="00795FE9">
        <w:rPr>
          <w:rFonts w:asciiTheme="minorHAnsi" w:hAnsiTheme="minorHAnsi"/>
          <w:color w:val="000000"/>
          <w:lang w:val="uk-UA"/>
        </w:rPr>
        <w:t>термінів закінчення дії договору оренди, моменту передачі від користувача власнику земельної ділянки сільськогосподарського призначення та закінчення періо</w:t>
      </w:r>
      <w:r w:rsidR="00795FE9">
        <w:rPr>
          <w:rFonts w:asciiTheme="minorHAnsi" w:hAnsiTheme="minorHAnsi"/>
          <w:color w:val="000000"/>
          <w:lang w:val="uk-UA"/>
        </w:rPr>
        <w:t xml:space="preserve">дів достигання та збору культур, врегулювання використання земельних ділянок, </w:t>
      </w:r>
      <w:r w:rsidR="00795FE9" w:rsidRPr="00795FE9">
        <w:rPr>
          <w:rFonts w:asciiTheme="minorHAnsi" w:hAnsiTheme="minorHAnsi"/>
          <w:color w:val="000000"/>
          <w:lang w:val="uk-UA"/>
        </w:rPr>
        <w:t>власники яких невід</w:t>
      </w:r>
      <w:r w:rsidR="00795FE9">
        <w:rPr>
          <w:rFonts w:asciiTheme="minorHAnsi" w:hAnsiTheme="minorHAnsi"/>
          <w:color w:val="000000"/>
          <w:lang w:val="uk-UA"/>
        </w:rPr>
        <w:t xml:space="preserve">омі або не заявляють своїх прав, тощо. </w:t>
      </w:r>
    </w:p>
    <w:p w:rsidR="0017345D" w:rsidRPr="005D4B7A" w:rsidRDefault="0017345D" w:rsidP="0017345D">
      <w:pPr>
        <w:pStyle w:val="a5"/>
        <w:numPr>
          <w:ilvl w:val="0"/>
          <w:numId w:val="2"/>
        </w:numPr>
        <w:spacing w:before="120" w:after="0" w:line="240" w:lineRule="auto"/>
        <w:ind w:left="0" w:right="-709" w:firstLine="0"/>
        <w:contextualSpacing w:val="0"/>
        <w:rPr>
          <w:sz w:val="26"/>
          <w:szCs w:val="24"/>
          <w:lang w:val="uk-UA"/>
        </w:rPr>
      </w:pPr>
      <w:r w:rsidRPr="005D4B7A">
        <w:rPr>
          <w:b/>
          <w:sz w:val="26"/>
          <w:szCs w:val="24"/>
          <w:lang w:val="uk-UA"/>
        </w:rPr>
        <w:t>Ризик створення корупційної схеми:</w:t>
      </w:r>
      <w:r>
        <w:rPr>
          <w:sz w:val="26"/>
          <w:szCs w:val="24"/>
          <w:lang w:val="uk-UA"/>
        </w:rPr>
        <w:t xml:space="preserve"> </w:t>
      </w:r>
      <w:r w:rsidRPr="005C3C4F">
        <w:rPr>
          <w:sz w:val="24"/>
          <w:szCs w:val="24"/>
          <w:lang w:val="uk-UA"/>
        </w:rPr>
        <w:t>наявний</w:t>
      </w:r>
      <w:r>
        <w:rPr>
          <w:sz w:val="26"/>
          <w:szCs w:val="24"/>
          <w:lang w:val="uk-UA"/>
        </w:rPr>
        <w:t xml:space="preserve"> </w:t>
      </w:r>
    </w:p>
    <w:p w:rsidR="0017345D" w:rsidRPr="005D4B7A" w:rsidRDefault="0017345D" w:rsidP="0017345D">
      <w:pPr>
        <w:spacing w:before="120" w:after="0" w:line="240" w:lineRule="auto"/>
        <w:ind w:right="-711"/>
        <w:rPr>
          <w:b/>
          <w:i/>
          <w:sz w:val="26"/>
          <w:szCs w:val="24"/>
          <w:lang w:val="uk-UA"/>
        </w:rPr>
      </w:pPr>
      <w:r w:rsidRPr="005D4B7A">
        <w:rPr>
          <w:b/>
          <w:i/>
          <w:sz w:val="26"/>
          <w:szCs w:val="24"/>
          <w:lang w:val="uk-UA"/>
        </w:rPr>
        <w:t>Яким чином може працювати корупційна схема:</w:t>
      </w:r>
    </w:p>
    <w:p w:rsidR="00E8425A" w:rsidRPr="00E8425A" w:rsidRDefault="0015489A" w:rsidP="00E8425A">
      <w:pPr>
        <w:pStyle w:val="a5"/>
        <w:spacing w:before="120" w:after="0" w:line="240" w:lineRule="auto"/>
        <w:ind w:left="0" w:right="-711"/>
        <w:contextualSpacing w:val="0"/>
        <w:rPr>
          <w:sz w:val="24"/>
          <w:szCs w:val="24"/>
          <w:lang w:val="uk-UA"/>
        </w:rPr>
      </w:pPr>
      <w:r w:rsidRPr="00E8425A">
        <w:rPr>
          <w:sz w:val="24"/>
          <w:szCs w:val="24"/>
          <w:lang w:val="uk-UA"/>
        </w:rPr>
        <w:t xml:space="preserve">Законопроект передбачає </w:t>
      </w:r>
      <w:r w:rsidRPr="00E8425A">
        <w:rPr>
          <w:rFonts w:ascii="Calibri" w:eastAsia="Calibri" w:hAnsi="Calibri" w:cs="Times New Roman"/>
          <w:sz w:val="24"/>
          <w:szCs w:val="24"/>
          <w:lang w:val="uk-UA"/>
        </w:rPr>
        <w:t xml:space="preserve">можливість позбавити особу права власності на земельну ділянку у випадку нецільового використання даної ділянки </w:t>
      </w:r>
      <w:r w:rsidRPr="00E8425A">
        <w:rPr>
          <w:rFonts w:ascii="Calibri" w:eastAsia="Calibri" w:hAnsi="Calibri" w:cs="Times New Roman"/>
          <w:i/>
          <w:sz w:val="24"/>
          <w:szCs w:val="24"/>
          <w:lang w:val="uk-UA"/>
        </w:rPr>
        <w:t>іншою</w:t>
      </w:r>
      <w:r w:rsidRPr="00E8425A">
        <w:rPr>
          <w:rFonts w:ascii="Calibri" w:eastAsia="Calibri" w:hAnsi="Calibri" w:cs="Times New Roman"/>
          <w:sz w:val="24"/>
          <w:szCs w:val="24"/>
          <w:lang w:val="uk-UA"/>
        </w:rPr>
        <w:t xml:space="preserve"> особою (орендарем).</w:t>
      </w:r>
      <w:r w:rsidRPr="00E8425A">
        <w:rPr>
          <w:sz w:val="24"/>
          <w:szCs w:val="24"/>
          <w:lang w:val="uk-UA"/>
        </w:rPr>
        <w:t xml:space="preserve"> </w:t>
      </w:r>
      <w:r w:rsidR="00E8425A" w:rsidRPr="00E8425A">
        <w:rPr>
          <w:sz w:val="24"/>
          <w:szCs w:val="24"/>
          <w:lang w:val="uk-UA"/>
        </w:rPr>
        <w:t xml:space="preserve">Державний інспектор сільського господарства складає протокол про порушення та видає землевласнику припис про вжиття заходів щодо його усунення у шестимісячний строк. У разі невиконання приписів  державна інспекція сільського господарства звертається до суду з позовом про припинення права власності на земельну ділянку. </w:t>
      </w:r>
    </w:p>
    <w:p w:rsidR="0015489A" w:rsidRDefault="00E8425A" w:rsidP="00E8425A">
      <w:pPr>
        <w:pStyle w:val="a5"/>
        <w:spacing w:before="120" w:after="0" w:line="240" w:lineRule="auto"/>
        <w:ind w:left="0" w:right="-711"/>
        <w:contextualSpacing w:val="0"/>
        <w:rPr>
          <w:lang w:val="uk-UA"/>
        </w:rPr>
      </w:pPr>
      <w:r>
        <w:rPr>
          <w:sz w:val="24"/>
          <w:szCs w:val="24"/>
          <w:lang w:val="uk-UA"/>
        </w:rPr>
        <w:t xml:space="preserve">Разом з тим, виникає ризик, що землевласник не зможе виконати приписи через спротив або зволікання землекористувача. Крім того,  можливим є </w:t>
      </w:r>
      <w:r w:rsidR="0015489A" w:rsidRPr="0015489A">
        <w:rPr>
          <w:rFonts w:ascii="Calibri" w:eastAsia="Calibri" w:hAnsi="Calibri" w:cs="Times New Roman"/>
          <w:sz w:val="24"/>
          <w:szCs w:val="24"/>
          <w:lang w:val="uk-UA"/>
        </w:rPr>
        <w:t>виникнення корупційних змов між орендарями та представниками органів місцевого самоврядування</w:t>
      </w:r>
      <w:r w:rsidR="00704AFC">
        <w:rPr>
          <w:rFonts w:ascii="Calibri" w:eastAsia="Calibri" w:hAnsi="Calibri" w:cs="Times New Roman"/>
          <w:sz w:val="24"/>
          <w:szCs w:val="24"/>
          <w:lang w:val="uk-UA"/>
        </w:rPr>
        <w:t>,</w:t>
      </w:r>
      <w:r w:rsidR="0015489A" w:rsidRPr="0015489A">
        <w:rPr>
          <w:rFonts w:ascii="Calibri" w:eastAsia="Calibri" w:hAnsi="Calibri" w:cs="Times New Roman"/>
          <w:sz w:val="24"/>
          <w:szCs w:val="24"/>
          <w:lang w:val="uk-UA"/>
        </w:rPr>
        <w:t xml:space="preserve"> державних адміністрацій для позбавлення власників їхніх земельних ділянок</w:t>
      </w:r>
      <w:r>
        <w:rPr>
          <w:rFonts w:ascii="Calibri" w:eastAsia="Calibri" w:hAnsi="Calibri" w:cs="Times New Roman"/>
          <w:sz w:val="24"/>
          <w:szCs w:val="24"/>
          <w:lang w:val="uk-UA"/>
        </w:rPr>
        <w:t xml:space="preserve">. </w:t>
      </w:r>
    </w:p>
    <w:p w:rsidR="0017345D" w:rsidRPr="00E8425A" w:rsidRDefault="0017345D" w:rsidP="0017345D">
      <w:pPr>
        <w:spacing w:before="120" w:after="0" w:line="240" w:lineRule="auto"/>
        <w:ind w:right="-711"/>
        <w:rPr>
          <w:sz w:val="24"/>
          <w:szCs w:val="24"/>
          <w:lang w:val="uk-UA"/>
        </w:rPr>
      </w:pPr>
      <w:r w:rsidRPr="005D4B7A">
        <w:rPr>
          <w:b/>
          <w:i/>
          <w:sz w:val="26"/>
          <w:szCs w:val="24"/>
          <w:lang w:val="uk-UA"/>
        </w:rPr>
        <w:t xml:space="preserve"> Хто може отримувати корупційну вигоду:</w:t>
      </w:r>
      <w:r w:rsidRPr="005D4B7A">
        <w:rPr>
          <w:sz w:val="26"/>
          <w:szCs w:val="24"/>
          <w:lang w:val="uk-UA"/>
        </w:rPr>
        <w:t xml:space="preserve"> </w:t>
      </w:r>
      <w:r w:rsidR="00E8425A" w:rsidRPr="00E8425A">
        <w:rPr>
          <w:sz w:val="24"/>
          <w:szCs w:val="24"/>
          <w:lang w:val="uk-UA"/>
        </w:rPr>
        <w:t>представники органів місцевого самоврядува</w:t>
      </w:r>
      <w:r w:rsidR="00A6087D">
        <w:rPr>
          <w:sz w:val="24"/>
          <w:szCs w:val="24"/>
          <w:lang w:val="uk-UA"/>
        </w:rPr>
        <w:t xml:space="preserve">ння, державні інспектори, судді, орендарі земельних ділянок </w:t>
      </w:r>
    </w:p>
    <w:p w:rsidR="0017345D" w:rsidRPr="005D4B7A" w:rsidRDefault="0017345D" w:rsidP="0017345D">
      <w:pPr>
        <w:spacing w:before="120" w:after="0" w:line="240" w:lineRule="auto"/>
        <w:ind w:right="-711"/>
        <w:rPr>
          <w:sz w:val="26"/>
          <w:szCs w:val="24"/>
          <w:lang w:val="uk-UA"/>
        </w:rPr>
      </w:pPr>
      <w:r w:rsidRPr="005D4B7A">
        <w:rPr>
          <w:b/>
          <w:i/>
          <w:sz w:val="26"/>
          <w:szCs w:val="24"/>
          <w:lang w:val="uk-UA"/>
        </w:rPr>
        <w:t>Оцінка обсягу корупційної вигоди:</w:t>
      </w:r>
      <w:r w:rsidRPr="005D4B7A">
        <w:rPr>
          <w:sz w:val="26"/>
          <w:szCs w:val="24"/>
          <w:lang w:val="uk-UA"/>
        </w:rPr>
        <w:t xml:space="preserve"> </w:t>
      </w:r>
      <w:r w:rsidRPr="008F0ADC">
        <w:rPr>
          <w:sz w:val="24"/>
          <w:szCs w:val="24"/>
          <w:lang w:val="uk-UA"/>
        </w:rPr>
        <w:t>на стадії оцінки</w:t>
      </w:r>
      <w:r w:rsidRPr="005D4B7A">
        <w:rPr>
          <w:sz w:val="26"/>
          <w:szCs w:val="24"/>
          <w:lang w:val="uk-UA"/>
        </w:rPr>
        <w:t xml:space="preserve">  </w:t>
      </w:r>
    </w:p>
    <w:p w:rsidR="0017345D" w:rsidRDefault="0017345D" w:rsidP="0017345D">
      <w:pPr>
        <w:spacing w:before="120" w:after="0" w:line="240" w:lineRule="auto"/>
        <w:ind w:right="-711"/>
        <w:rPr>
          <w:sz w:val="26"/>
          <w:szCs w:val="24"/>
          <w:lang w:val="uk-UA"/>
        </w:rPr>
      </w:pPr>
      <w:r w:rsidRPr="005D4B7A">
        <w:rPr>
          <w:b/>
          <w:i/>
          <w:sz w:val="26"/>
          <w:szCs w:val="24"/>
          <w:lang w:val="uk-UA"/>
        </w:rPr>
        <w:t>Хто платитиме корупційні внески:</w:t>
      </w:r>
      <w:r w:rsidRPr="005D4B7A">
        <w:rPr>
          <w:sz w:val="26"/>
          <w:szCs w:val="24"/>
          <w:lang w:val="uk-UA"/>
        </w:rPr>
        <w:t xml:space="preserve"> </w:t>
      </w:r>
      <w:r w:rsidR="00E8425A" w:rsidRPr="00E8425A">
        <w:rPr>
          <w:sz w:val="24"/>
          <w:szCs w:val="24"/>
          <w:lang w:val="uk-UA"/>
        </w:rPr>
        <w:t>сотні тисяч власників земельних ділянок</w:t>
      </w:r>
      <w:r w:rsidR="00E8425A">
        <w:rPr>
          <w:sz w:val="26"/>
          <w:szCs w:val="24"/>
          <w:lang w:val="uk-UA"/>
        </w:rPr>
        <w:t xml:space="preserve"> </w:t>
      </w:r>
    </w:p>
    <w:p w:rsidR="0017345D" w:rsidRPr="005D4B7A" w:rsidRDefault="0017345D" w:rsidP="0017345D">
      <w:pPr>
        <w:pStyle w:val="a5"/>
        <w:numPr>
          <w:ilvl w:val="0"/>
          <w:numId w:val="2"/>
        </w:numPr>
        <w:spacing w:before="120" w:after="0" w:line="240" w:lineRule="auto"/>
        <w:ind w:left="0" w:right="-711" w:firstLine="0"/>
        <w:rPr>
          <w:b/>
          <w:sz w:val="26"/>
          <w:szCs w:val="24"/>
          <w:lang w:val="uk-UA"/>
        </w:rPr>
      </w:pPr>
      <w:r w:rsidRPr="005D4B7A">
        <w:rPr>
          <w:b/>
          <w:sz w:val="26"/>
          <w:szCs w:val="24"/>
          <w:lang w:val="uk-UA"/>
        </w:rPr>
        <w:t xml:space="preserve">Втрати та жертви </w:t>
      </w:r>
    </w:p>
    <w:p w:rsidR="0017345D" w:rsidRDefault="0017345D" w:rsidP="0017345D">
      <w:pPr>
        <w:spacing w:before="120" w:after="0" w:line="240" w:lineRule="auto"/>
        <w:ind w:right="-711"/>
        <w:rPr>
          <w:sz w:val="24"/>
          <w:szCs w:val="24"/>
          <w:lang w:val="uk-UA"/>
        </w:rPr>
      </w:pPr>
      <w:r w:rsidRPr="008F0ADC">
        <w:rPr>
          <w:sz w:val="24"/>
          <w:szCs w:val="24"/>
          <w:lang w:val="uk-UA"/>
        </w:rPr>
        <w:t xml:space="preserve">Ключові </w:t>
      </w:r>
      <w:r w:rsidRPr="008F0ADC">
        <w:rPr>
          <w:b/>
          <w:i/>
          <w:sz w:val="24"/>
          <w:szCs w:val="24"/>
          <w:lang w:val="uk-UA"/>
        </w:rPr>
        <w:t>негативні наслідки</w:t>
      </w:r>
      <w:r w:rsidRPr="008F0ADC">
        <w:rPr>
          <w:sz w:val="24"/>
          <w:szCs w:val="24"/>
          <w:lang w:val="uk-UA"/>
        </w:rPr>
        <w:t xml:space="preserve">: </w:t>
      </w:r>
    </w:p>
    <w:p w:rsidR="0017345D" w:rsidRPr="008F0ADC" w:rsidRDefault="00E8425A" w:rsidP="0017345D">
      <w:pPr>
        <w:spacing w:before="120" w:after="0" w:line="240" w:lineRule="auto"/>
        <w:ind w:right="-711"/>
        <w:rPr>
          <w:sz w:val="24"/>
          <w:szCs w:val="24"/>
          <w:lang w:val="uk-UA"/>
        </w:rPr>
      </w:pPr>
      <w:r>
        <w:rPr>
          <w:sz w:val="24"/>
          <w:szCs w:val="24"/>
          <w:lang w:val="uk-UA"/>
        </w:rPr>
        <w:t xml:space="preserve">Власники земельних ділянок сільськогосподарського призначення можуть бути безпідставно позбавлені права власності або будуть вимушені сплачувати неправомірну вигоду представникам органів влади. </w:t>
      </w:r>
    </w:p>
    <w:p w:rsidR="00E8425A" w:rsidRDefault="0017345D" w:rsidP="00E8425A">
      <w:pPr>
        <w:spacing w:before="120" w:after="0" w:line="240" w:lineRule="auto"/>
        <w:ind w:right="-711"/>
        <w:rPr>
          <w:sz w:val="26"/>
          <w:szCs w:val="24"/>
          <w:lang w:val="uk-UA"/>
        </w:rPr>
      </w:pPr>
      <w:r w:rsidRPr="005D4B7A">
        <w:rPr>
          <w:b/>
          <w:i/>
          <w:sz w:val="26"/>
          <w:szCs w:val="24"/>
          <w:lang w:val="uk-UA"/>
        </w:rPr>
        <w:t>Хто може потерпати від корупційної схеми:</w:t>
      </w:r>
      <w:r w:rsidR="00E8425A">
        <w:rPr>
          <w:b/>
          <w:i/>
          <w:sz w:val="26"/>
          <w:szCs w:val="24"/>
          <w:lang w:val="uk-UA"/>
        </w:rPr>
        <w:t xml:space="preserve"> </w:t>
      </w:r>
      <w:r w:rsidR="00E8425A" w:rsidRPr="00E8425A">
        <w:rPr>
          <w:sz w:val="24"/>
          <w:szCs w:val="24"/>
          <w:lang w:val="uk-UA"/>
        </w:rPr>
        <w:t>сотні тисяч власників земельних ділянок</w:t>
      </w:r>
      <w:r w:rsidR="00E8425A">
        <w:rPr>
          <w:sz w:val="26"/>
          <w:szCs w:val="24"/>
          <w:lang w:val="uk-UA"/>
        </w:rPr>
        <w:t xml:space="preserve"> </w:t>
      </w:r>
    </w:p>
    <w:p w:rsidR="0017345D" w:rsidRDefault="0017345D" w:rsidP="00E8425A">
      <w:pPr>
        <w:spacing w:before="120" w:after="0" w:line="240" w:lineRule="auto"/>
        <w:ind w:right="-711"/>
        <w:rPr>
          <w:sz w:val="26"/>
          <w:szCs w:val="24"/>
          <w:lang w:val="uk-UA"/>
        </w:rPr>
      </w:pPr>
      <w:r w:rsidRPr="005D4B7A">
        <w:rPr>
          <w:b/>
          <w:sz w:val="26"/>
          <w:szCs w:val="24"/>
          <w:lang w:val="uk-UA"/>
        </w:rPr>
        <w:t>Висновки та рекомендації:</w:t>
      </w:r>
      <w:r w:rsidRPr="005D4B7A">
        <w:rPr>
          <w:sz w:val="26"/>
          <w:szCs w:val="24"/>
          <w:lang w:val="uk-UA"/>
        </w:rPr>
        <w:t xml:space="preserve"> </w:t>
      </w:r>
    </w:p>
    <w:p w:rsidR="0017345D" w:rsidRDefault="0015489A" w:rsidP="00E8425A">
      <w:pPr>
        <w:spacing w:before="120" w:after="0" w:line="240" w:lineRule="auto"/>
        <w:rPr>
          <w:sz w:val="24"/>
          <w:szCs w:val="24"/>
          <w:lang w:val="uk-UA"/>
        </w:rPr>
      </w:pPr>
      <w:r>
        <w:rPr>
          <w:sz w:val="24"/>
          <w:szCs w:val="24"/>
          <w:lang w:val="uk-UA"/>
        </w:rPr>
        <w:t xml:space="preserve">Законопроект </w:t>
      </w:r>
      <w:r w:rsidR="00107C33">
        <w:rPr>
          <w:sz w:val="24"/>
          <w:szCs w:val="24"/>
          <w:lang w:val="uk-UA"/>
        </w:rPr>
        <w:t xml:space="preserve">містить </w:t>
      </w:r>
      <w:r w:rsidR="00E8425A">
        <w:rPr>
          <w:sz w:val="24"/>
          <w:szCs w:val="24"/>
          <w:lang w:val="uk-UA"/>
        </w:rPr>
        <w:t xml:space="preserve">корупційні ризики. Рекомендується доопрацювати законопроект за результатами розгляду в першому читанні. </w:t>
      </w:r>
    </w:p>
    <w:p w:rsidR="0017345D" w:rsidRDefault="0017345D" w:rsidP="0017345D">
      <w:pPr>
        <w:rPr>
          <w:sz w:val="24"/>
          <w:szCs w:val="24"/>
          <w:lang w:val="uk-UA"/>
        </w:rPr>
      </w:pPr>
      <w:r>
        <w:rPr>
          <w:sz w:val="24"/>
          <w:szCs w:val="24"/>
          <w:lang w:val="uk-UA"/>
        </w:rPr>
        <w:br w:type="page"/>
      </w:r>
    </w:p>
    <w:p w:rsidR="0017345D" w:rsidRPr="00271BF1" w:rsidRDefault="0017345D" w:rsidP="0017345D">
      <w:pPr>
        <w:pBdr>
          <w:top w:val="single" w:sz="4" w:space="1" w:color="auto"/>
          <w:left w:val="single" w:sz="4" w:space="4" w:color="auto"/>
          <w:bottom w:val="single" w:sz="4" w:space="1" w:color="auto"/>
          <w:right w:val="single" w:sz="4" w:space="4" w:color="auto"/>
        </w:pBdr>
        <w:rPr>
          <w:b/>
          <w:sz w:val="26"/>
          <w:szCs w:val="26"/>
          <w:lang w:val="uk-UA"/>
        </w:rPr>
      </w:pPr>
      <w:r w:rsidRPr="00271BF1">
        <w:rPr>
          <w:b/>
          <w:sz w:val="26"/>
          <w:szCs w:val="26"/>
          <w:lang w:val="uk-UA"/>
        </w:rPr>
        <w:lastRenderedPageBreak/>
        <w:t>ІІ. Детальний виклад результатів громадської антикорупційної експертизи</w:t>
      </w:r>
    </w:p>
    <w:p w:rsidR="0017345D" w:rsidRDefault="0017345D" w:rsidP="0017345D">
      <w:pPr>
        <w:pStyle w:val="a5"/>
        <w:numPr>
          <w:ilvl w:val="0"/>
          <w:numId w:val="2"/>
        </w:numPr>
        <w:spacing w:after="120" w:line="240" w:lineRule="auto"/>
        <w:ind w:left="714" w:hanging="357"/>
        <w:contextualSpacing w:val="0"/>
        <w:rPr>
          <w:b/>
          <w:sz w:val="24"/>
          <w:szCs w:val="24"/>
          <w:lang w:val="uk-UA"/>
        </w:rPr>
      </w:pPr>
      <w:r w:rsidRPr="001E2478">
        <w:rPr>
          <w:b/>
          <w:sz w:val="24"/>
          <w:szCs w:val="24"/>
          <w:lang w:val="uk-UA"/>
        </w:rPr>
        <w:t xml:space="preserve">Задекларована суть законопроекту </w:t>
      </w:r>
    </w:p>
    <w:tbl>
      <w:tblPr>
        <w:tblStyle w:val="a3"/>
        <w:tblW w:w="0" w:type="auto"/>
        <w:tblLook w:val="04A0"/>
      </w:tblPr>
      <w:tblGrid>
        <w:gridCol w:w="4785"/>
        <w:gridCol w:w="4786"/>
      </w:tblGrid>
      <w:tr w:rsidR="0017345D" w:rsidTr="00582DB0">
        <w:tc>
          <w:tcPr>
            <w:tcW w:w="4785" w:type="dxa"/>
          </w:tcPr>
          <w:p w:rsidR="0017345D" w:rsidRPr="001E2478" w:rsidRDefault="0017345D" w:rsidP="00582DB0">
            <w:pPr>
              <w:jc w:val="center"/>
              <w:rPr>
                <w:b/>
                <w:i/>
                <w:sz w:val="24"/>
                <w:szCs w:val="24"/>
                <w:lang w:val="uk-UA"/>
              </w:rPr>
            </w:pPr>
            <w:r w:rsidRPr="001E2478">
              <w:rPr>
                <w:b/>
                <w:i/>
                <w:sz w:val="24"/>
                <w:szCs w:val="24"/>
                <w:lang w:val="uk-UA"/>
              </w:rPr>
              <w:t>Ціль</w:t>
            </w:r>
          </w:p>
        </w:tc>
        <w:tc>
          <w:tcPr>
            <w:tcW w:w="4786" w:type="dxa"/>
          </w:tcPr>
          <w:p w:rsidR="0017345D" w:rsidRPr="001E2478" w:rsidRDefault="0017345D" w:rsidP="00582DB0">
            <w:pPr>
              <w:jc w:val="center"/>
              <w:rPr>
                <w:b/>
                <w:i/>
                <w:sz w:val="24"/>
                <w:szCs w:val="24"/>
                <w:lang w:val="uk-UA"/>
              </w:rPr>
            </w:pPr>
            <w:r w:rsidRPr="001E2478">
              <w:rPr>
                <w:b/>
                <w:i/>
                <w:sz w:val="24"/>
                <w:szCs w:val="24"/>
                <w:lang w:val="uk-UA"/>
              </w:rPr>
              <w:t>Спосіб досягнення</w:t>
            </w:r>
          </w:p>
        </w:tc>
      </w:tr>
      <w:tr w:rsidR="0017345D" w:rsidRPr="00A6087D" w:rsidTr="00582DB0">
        <w:tc>
          <w:tcPr>
            <w:tcW w:w="4785" w:type="dxa"/>
          </w:tcPr>
          <w:p w:rsidR="0017345D" w:rsidRDefault="00E8425A" w:rsidP="00582DB0">
            <w:pPr>
              <w:rPr>
                <w:sz w:val="24"/>
                <w:szCs w:val="24"/>
                <w:lang w:val="uk-UA"/>
              </w:rPr>
            </w:pPr>
            <w:r>
              <w:rPr>
                <w:lang w:val="uk-UA"/>
              </w:rPr>
              <w:t>Оптимальне правове</w:t>
            </w:r>
            <w:r w:rsidRPr="00795FE9">
              <w:rPr>
                <w:sz w:val="24"/>
                <w:szCs w:val="24"/>
                <w:lang w:val="uk-UA"/>
              </w:rPr>
              <w:t xml:space="preserve"> регулювання відносин користування земельними ділянками, зокрема на умовах оренди земель </w:t>
            </w:r>
            <w:r w:rsidRPr="00795FE9">
              <w:rPr>
                <w:color w:val="000000"/>
                <w:sz w:val="24"/>
                <w:szCs w:val="24"/>
                <w:lang w:val="uk-UA"/>
              </w:rPr>
              <w:t>сільськогосподарського призначення для ведення товарного сільськогосподарського виробництва</w:t>
            </w:r>
          </w:p>
        </w:tc>
        <w:tc>
          <w:tcPr>
            <w:tcW w:w="4786" w:type="dxa"/>
          </w:tcPr>
          <w:p w:rsidR="0017345D" w:rsidRDefault="00E8425A" w:rsidP="00582DB0">
            <w:pPr>
              <w:rPr>
                <w:sz w:val="24"/>
                <w:szCs w:val="24"/>
                <w:lang w:val="uk-UA"/>
              </w:rPr>
            </w:pPr>
            <w:r>
              <w:rPr>
                <w:sz w:val="24"/>
                <w:szCs w:val="24"/>
                <w:lang w:val="uk-UA"/>
              </w:rPr>
              <w:t>В</w:t>
            </w:r>
            <w:r w:rsidRPr="00795FE9">
              <w:rPr>
                <w:sz w:val="24"/>
                <w:szCs w:val="24"/>
                <w:lang w:val="uk-UA"/>
              </w:rPr>
              <w:t xml:space="preserve">становлення мінімального терміну дії договорів оренди земельних ділянок </w:t>
            </w:r>
            <w:r w:rsidRPr="00795FE9">
              <w:rPr>
                <w:color w:val="000000"/>
                <w:sz w:val="24"/>
                <w:szCs w:val="24"/>
                <w:lang w:val="uk-UA"/>
              </w:rPr>
              <w:t>сільськогосподарського призначення для ведення товарного сільськогосподарського (</w:t>
            </w:r>
            <w:r w:rsidRPr="00795FE9">
              <w:rPr>
                <w:sz w:val="24"/>
                <w:szCs w:val="24"/>
                <w:lang w:val="uk-UA"/>
              </w:rPr>
              <w:t xml:space="preserve">7 років), </w:t>
            </w:r>
            <w:r>
              <w:rPr>
                <w:lang w:val="uk-UA"/>
              </w:rPr>
              <w:t xml:space="preserve">гармонізація </w:t>
            </w:r>
            <w:r w:rsidRPr="00795FE9">
              <w:rPr>
                <w:color w:val="000000"/>
                <w:sz w:val="24"/>
                <w:szCs w:val="24"/>
                <w:lang w:val="uk-UA"/>
              </w:rPr>
              <w:t>термінів закінчення дії договору оренди, моменту передачі від користувача власнику земельної ділянки сільськогосподарського призначення та закінчення періо</w:t>
            </w:r>
            <w:r>
              <w:rPr>
                <w:color w:val="000000"/>
                <w:lang w:val="uk-UA"/>
              </w:rPr>
              <w:t xml:space="preserve">дів достигання та збору культур, врегулювання використання земельних ділянок, </w:t>
            </w:r>
            <w:r w:rsidRPr="00795FE9">
              <w:rPr>
                <w:color w:val="000000"/>
                <w:sz w:val="24"/>
                <w:szCs w:val="24"/>
                <w:lang w:val="uk-UA"/>
              </w:rPr>
              <w:t>власники яких невід</w:t>
            </w:r>
            <w:r>
              <w:rPr>
                <w:color w:val="000000"/>
                <w:lang w:val="uk-UA"/>
              </w:rPr>
              <w:t>омі або не заявляють своїх прав, тощо</w:t>
            </w:r>
          </w:p>
        </w:tc>
      </w:tr>
    </w:tbl>
    <w:p w:rsidR="0017345D" w:rsidRDefault="0017345D" w:rsidP="0017345D">
      <w:pPr>
        <w:pStyle w:val="a5"/>
        <w:numPr>
          <w:ilvl w:val="0"/>
          <w:numId w:val="2"/>
        </w:numPr>
        <w:spacing w:before="120" w:after="120" w:line="240" w:lineRule="auto"/>
        <w:ind w:left="714" w:hanging="357"/>
        <w:contextualSpacing w:val="0"/>
        <w:rPr>
          <w:b/>
          <w:sz w:val="24"/>
          <w:szCs w:val="24"/>
          <w:lang w:val="uk-UA"/>
        </w:rPr>
      </w:pPr>
      <w:proofErr w:type="spellStart"/>
      <w:r w:rsidRPr="001E2478">
        <w:rPr>
          <w:b/>
          <w:sz w:val="24"/>
          <w:szCs w:val="24"/>
          <w:lang w:val="uk-UA"/>
        </w:rPr>
        <w:t>Корупціогенні</w:t>
      </w:r>
      <w:proofErr w:type="spellEnd"/>
      <w:r w:rsidRPr="001E2478">
        <w:rPr>
          <w:b/>
          <w:sz w:val="24"/>
          <w:szCs w:val="24"/>
          <w:lang w:val="uk-UA"/>
        </w:rPr>
        <w:t xml:space="preserve"> чинники та норм</w:t>
      </w:r>
    </w:p>
    <w:tbl>
      <w:tblPr>
        <w:tblStyle w:val="a6"/>
        <w:tblW w:w="0" w:type="auto"/>
        <w:tblLook w:val="04A0"/>
      </w:tblPr>
      <w:tblGrid>
        <w:gridCol w:w="402"/>
        <w:gridCol w:w="6936"/>
        <w:gridCol w:w="2233"/>
      </w:tblGrid>
      <w:tr w:rsidR="0017345D" w:rsidTr="00582DB0">
        <w:trPr>
          <w:cnfStyle w:val="100000000000"/>
        </w:trPr>
        <w:tc>
          <w:tcPr>
            <w:cnfStyle w:val="001000000000"/>
            <w:tcW w:w="402" w:type="dxa"/>
          </w:tcPr>
          <w:p w:rsidR="0017345D" w:rsidRPr="001E2478" w:rsidRDefault="0017345D" w:rsidP="00582DB0">
            <w:pPr>
              <w:jc w:val="center"/>
              <w:rPr>
                <w:b w:val="0"/>
                <w:i/>
                <w:sz w:val="24"/>
                <w:szCs w:val="24"/>
                <w:lang w:val="uk-UA"/>
              </w:rPr>
            </w:pPr>
          </w:p>
        </w:tc>
        <w:tc>
          <w:tcPr>
            <w:tcW w:w="6936" w:type="dxa"/>
          </w:tcPr>
          <w:p w:rsidR="0017345D" w:rsidRPr="001E2478" w:rsidRDefault="0017345D" w:rsidP="00582DB0">
            <w:pPr>
              <w:jc w:val="center"/>
              <w:cnfStyle w:val="100000000000"/>
              <w:rPr>
                <w:b w:val="0"/>
                <w:i/>
                <w:sz w:val="24"/>
                <w:szCs w:val="24"/>
                <w:lang w:val="uk-UA"/>
              </w:rPr>
            </w:pPr>
            <w:proofErr w:type="spellStart"/>
            <w:r w:rsidRPr="001E2478">
              <w:rPr>
                <w:i/>
                <w:sz w:val="24"/>
                <w:szCs w:val="24"/>
                <w:lang w:val="uk-UA"/>
              </w:rPr>
              <w:t>Корупціогенний</w:t>
            </w:r>
            <w:proofErr w:type="spellEnd"/>
            <w:r w:rsidRPr="001E2478">
              <w:rPr>
                <w:i/>
                <w:sz w:val="24"/>
                <w:szCs w:val="24"/>
                <w:lang w:val="uk-UA"/>
              </w:rPr>
              <w:t xml:space="preserve"> чинник</w:t>
            </w:r>
          </w:p>
        </w:tc>
        <w:tc>
          <w:tcPr>
            <w:tcW w:w="2233" w:type="dxa"/>
          </w:tcPr>
          <w:p w:rsidR="0017345D" w:rsidRPr="001E2478" w:rsidRDefault="0017345D" w:rsidP="00582DB0">
            <w:pPr>
              <w:jc w:val="center"/>
              <w:cnfStyle w:val="100000000000"/>
              <w:rPr>
                <w:b w:val="0"/>
                <w:i/>
                <w:sz w:val="24"/>
                <w:szCs w:val="24"/>
                <w:lang w:val="uk-UA"/>
              </w:rPr>
            </w:pPr>
            <w:r w:rsidRPr="001E2478">
              <w:rPr>
                <w:i/>
                <w:sz w:val="24"/>
                <w:szCs w:val="24"/>
                <w:lang w:val="uk-UA"/>
              </w:rPr>
              <w:t>Кількість норм</w:t>
            </w:r>
          </w:p>
        </w:tc>
      </w:tr>
      <w:tr w:rsidR="0017345D" w:rsidTr="00582DB0">
        <w:trPr>
          <w:cnfStyle w:val="000000100000"/>
        </w:trPr>
        <w:tc>
          <w:tcPr>
            <w:cnfStyle w:val="001000000000"/>
            <w:tcW w:w="402" w:type="dxa"/>
          </w:tcPr>
          <w:p w:rsidR="0017345D" w:rsidRPr="005A5802" w:rsidRDefault="0017345D" w:rsidP="00582DB0">
            <w:pPr>
              <w:rPr>
                <w:b w:val="0"/>
                <w:sz w:val="24"/>
                <w:szCs w:val="24"/>
                <w:lang w:val="uk-UA"/>
              </w:rPr>
            </w:pPr>
            <w:r w:rsidRPr="005A5802">
              <w:rPr>
                <w:b w:val="0"/>
                <w:sz w:val="24"/>
                <w:szCs w:val="24"/>
                <w:lang w:val="uk-UA"/>
              </w:rPr>
              <w:t>1.</w:t>
            </w:r>
          </w:p>
        </w:tc>
        <w:tc>
          <w:tcPr>
            <w:tcW w:w="6936" w:type="dxa"/>
          </w:tcPr>
          <w:p w:rsidR="0017345D" w:rsidRPr="001E2478" w:rsidRDefault="0017345D" w:rsidP="00582DB0">
            <w:pPr>
              <w:cnfStyle w:val="000000100000"/>
              <w:rPr>
                <w:sz w:val="24"/>
                <w:szCs w:val="24"/>
                <w:lang w:val="uk-UA"/>
              </w:rPr>
            </w:pPr>
            <w:r w:rsidRPr="001E2478">
              <w:rPr>
                <w:sz w:val="24"/>
                <w:szCs w:val="24"/>
                <w:lang w:val="uk-UA"/>
              </w:rPr>
              <w:t>Широта адміністративного розсуду та дискреційні повноваження (нечітке визначення функцій, прав, обов'язків і відповідальності органів влади)</w:t>
            </w:r>
          </w:p>
        </w:tc>
        <w:tc>
          <w:tcPr>
            <w:tcW w:w="2233" w:type="dxa"/>
          </w:tcPr>
          <w:p w:rsidR="0017345D" w:rsidRPr="001E2478" w:rsidRDefault="00B66D26" w:rsidP="00582DB0">
            <w:pPr>
              <w:jc w:val="center"/>
              <w:cnfStyle w:val="000000100000"/>
              <w:rPr>
                <w:sz w:val="24"/>
                <w:szCs w:val="24"/>
                <w:lang w:val="uk-UA"/>
              </w:rPr>
            </w:pPr>
            <w:r>
              <w:rPr>
                <w:sz w:val="24"/>
                <w:szCs w:val="24"/>
                <w:lang w:val="uk-UA"/>
              </w:rPr>
              <w:t>Не виявлено</w:t>
            </w:r>
          </w:p>
        </w:tc>
      </w:tr>
      <w:tr w:rsidR="0017345D" w:rsidTr="00582DB0">
        <w:tc>
          <w:tcPr>
            <w:cnfStyle w:val="001000000000"/>
            <w:tcW w:w="402" w:type="dxa"/>
          </w:tcPr>
          <w:p w:rsidR="0017345D" w:rsidRPr="005A5802" w:rsidRDefault="0017345D" w:rsidP="00582DB0">
            <w:pPr>
              <w:rPr>
                <w:b w:val="0"/>
                <w:sz w:val="24"/>
                <w:szCs w:val="24"/>
                <w:lang w:val="uk-UA"/>
              </w:rPr>
            </w:pPr>
            <w:r w:rsidRPr="005A5802">
              <w:rPr>
                <w:b w:val="0"/>
                <w:sz w:val="24"/>
                <w:szCs w:val="24"/>
                <w:lang w:val="uk-UA"/>
              </w:rPr>
              <w:t>2.</w:t>
            </w:r>
          </w:p>
        </w:tc>
        <w:tc>
          <w:tcPr>
            <w:tcW w:w="6936" w:type="dxa"/>
          </w:tcPr>
          <w:p w:rsidR="0017345D" w:rsidRPr="001E2478" w:rsidRDefault="0017345D" w:rsidP="00582DB0">
            <w:pPr>
              <w:cnfStyle w:val="000000000000"/>
              <w:rPr>
                <w:sz w:val="24"/>
                <w:szCs w:val="24"/>
                <w:lang w:val="uk-UA"/>
              </w:rPr>
            </w:pPr>
            <w:r w:rsidRPr="001E2478">
              <w:rPr>
                <w:sz w:val="24"/>
                <w:szCs w:val="24"/>
                <w:lang w:val="uk-UA"/>
              </w:rPr>
              <w:t>Порушення балансу інтересів та надмірні обтяження для одержувачів публічних послуг</w:t>
            </w:r>
          </w:p>
        </w:tc>
        <w:tc>
          <w:tcPr>
            <w:tcW w:w="2233" w:type="dxa"/>
          </w:tcPr>
          <w:p w:rsidR="0017345D" w:rsidRPr="00004590" w:rsidRDefault="00B66D26" w:rsidP="00582DB0">
            <w:pPr>
              <w:jc w:val="center"/>
              <w:cnfStyle w:val="000000000000"/>
              <w:rPr>
                <w:b/>
                <w:sz w:val="24"/>
                <w:szCs w:val="24"/>
                <w:lang w:val="uk-UA"/>
              </w:rPr>
            </w:pPr>
            <w:r w:rsidRPr="00004590">
              <w:rPr>
                <w:b/>
                <w:sz w:val="24"/>
                <w:szCs w:val="24"/>
                <w:lang w:val="uk-UA"/>
              </w:rPr>
              <w:t>1</w:t>
            </w:r>
          </w:p>
        </w:tc>
      </w:tr>
      <w:tr w:rsidR="0017345D" w:rsidTr="00582DB0">
        <w:trPr>
          <w:cnfStyle w:val="000000100000"/>
        </w:trPr>
        <w:tc>
          <w:tcPr>
            <w:cnfStyle w:val="001000000000"/>
            <w:tcW w:w="402" w:type="dxa"/>
          </w:tcPr>
          <w:p w:rsidR="0017345D" w:rsidRPr="005A5802" w:rsidRDefault="0017345D" w:rsidP="00582DB0">
            <w:pPr>
              <w:rPr>
                <w:b w:val="0"/>
                <w:sz w:val="24"/>
                <w:szCs w:val="24"/>
                <w:lang w:val="uk-UA"/>
              </w:rPr>
            </w:pPr>
            <w:r w:rsidRPr="005A5802">
              <w:rPr>
                <w:b w:val="0"/>
                <w:sz w:val="24"/>
                <w:szCs w:val="24"/>
                <w:lang w:val="uk-UA"/>
              </w:rPr>
              <w:t>3.</w:t>
            </w:r>
          </w:p>
        </w:tc>
        <w:tc>
          <w:tcPr>
            <w:tcW w:w="6936" w:type="dxa"/>
          </w:tcPr>
          <w:p w:rsidR="0017345D" w:rsidRPr="001E2478" w:rsidRDefault="0017345D" w:rsidP="00582DB0">
            <w:pPr>
              <w:cnfStyle w:val="000000100000"/>
              <w:rPr>
                <w:sz w:val="24"/>
                <w:szCs w:val="24"/>
                <w:lang w:val="uk-UA"/>
              </w:rPr>
            </w:pPr>
            <w:r w:rsidRPr="001E2478">
              <w:rPr>
                <w:sz w:val="24"/>
                <w:szCs w:val="24"/>
                <w:lang w:val="uk-UA"/>
              </w:rPr>
              <w:t>Прогалини правового регулювання</w:t>
            </w:r>
          </w:p>
        </w:tc>
        <w:tc>
          <w:tcPr>
            <w:tcW w:w="2233" w:type="dxa"/>
          </w:tcPr>
          <w:p w:rsidR="0017345D" w:rsidRPr="001E2478" w:rsidRDefault="00B66D26" w:rsidP="00582DB0">
            <w:pPr>
              <w:jc w:val="center"/>
              <w:cnfStyle w:val="000000100000"/>
              <w:rPr>
                <w:sz w:val="24"/>
                <w:szCs w:val="24"/>
                <w:lang w:val="uk-UA"/>
              </w:rPr>
            </w:pPr>
            <w:r>
              <w:rPr>
                <w:sz w:val="24"/>
                <w:szCs w:val="24"/>
                <w:lang w:val="uk-UA"/>
              </w:rPr>
              <w:t>Не виявлено</w:t>
            </w:r>
          </w:p>
        </w:tc>
      </w:tr>
      <w:tr w:rsidR="0017345D" w:rsidTr="00582DB0">
        <w:tc>
          <w:tcPr>
            <w:cnfStyle w:val="001000000000"/>
            <w:tcW w:w="402" w:type="dxa"/>
          </w:tcPr>
          <w:p w:rsidR="0017345D" w:rsidRPr="005A5802" w:rsidRDefault="0017345D" w:rsidP="00582DB0">
            <w:pPr>
              <w:rPr>
                <w:b w:val="0"/>
                <w:sz w:val="24"/>
                <w:szCs w:val="24"/>
                <w:lang w:val="uk-UA"/>
              </w:rPr>
            </w:pPr>
            <w:r w:rsidRPr="005A5802">
              <w:rPr>
                <w:b w:val="0"/>
                <w:sz w:val="24"/>
                <w:szCs w:val="24"/>
                <w:lang w:val="uk-UA"/>
              </w:rPr>
              <w:t>4.</w:t>
            </w:r>
          </w:p>
        </w:tc>
        <w:tc>
          <w:tcPr>
            <w:tcW w:w="6936" w:type="dxa"/>
          </w:tcPr>
          <w:p w:rsidR="0017345D" w:rsidRPr="001E2478" w:rsidRDefault="0017345D" w:rsidP="00582DB0">
            <w:pPr>
              <w:cnfStyle w:val="000000000000"/>
              <w:rPr>
                <w:sz w:val="24"/>
                <w:szCs w:val="24"/>
                <w:lang w:val="uk-UA"/>
              </w:rPr>
            </w:pPr>
            <w:r w:rsidRPr="001E2478">
              <w:rPr>
                <w:sz w:val="24"/>
                <w:szCs w:val="24"/>
                <w:lang w:val="uk-UA"/>
              </w:rPr>
              <w:t>Колізії в законодавстві</w:t>
            </w:r>
          </w:p>
        </w:tc>
        <w:tc>
          <w:tcPr>
            <w:tcW w:w="2233" w:type="dxa"/>
          </w:tcPr>
          <w:p w:rsidR="0017345D" w:rsidRPr="00004590" w:rsidRDefault="00F07446" w:rsidP="00582DB0">
            <w:pPr>
              <w:jc w:val="center"/>
              <w:cnfStyle w:val="000000000000"/>
              <w:rPr>
                <w:b/>
                <w:sz w:val="24"/>
                <w:szCs w:val="24"/>
                <w:lang w:val="uk-UA"/>
              </w:rPr>
            </w:pPr>
            <w:r>
              <w:rPr>
                <w:sz w:val="24"/>
                <w:szCs w:val="24"/>
                <w:lang w:val="uk-UA"/>
              </w:rPr>
              <w:t>Не виявлено</w:t>
            </w:r>
          </w:p>
        </w:tc>
      </w:tr>
      <w:tr w:rsidR="0017345D" w:rsidTr="00582DB0">
        <w:trPr>
          <w:cnfStyle w:val="000000100000"/>
        </w:trPr>
        <w:tc>
          <w:tcPr>
            <w:cnfStyle w:val="001000000000"/>
            <w:tcW w:w="402" w:type="dxa"/>
          </w:tcPr>
          <w:p w:rsidR="0017345D" w:rsidRPr="005A5802" w:rsidRDefault="0017345D" w:rsidP="00582DB0">
            <w:pPr>
              <w:rPr>
                <w:b w:val="0"/>
                <w:sz w:val="24"/>
                <w:szCs w:val="24"/>
                <w:lang w:val="uk-UA"/>
              </w:rPr>
            </w:pPr>
            <w:r w:rsidRPr="005A5802">
              <w:rPr>
                <w:b w:val="0"/>
                <w:sz w:val="24"/>
                <w:szCs w:val="24"/>
                <w:lang w:val="uk-UA"/>
              </w:rPr>
              <w:t>5.</w:t>
            </w:r>
          </w:p>
        </w:tc>
        <w:tc>
          <w:tcPr>
            <w:tcW w:w="6936" w:type="dxa"/>
          </w:tcPr>
          <w:p w:rsidR="0017345D" w:rsidRPr="001E2478" w:rsidRDefault="0017345D" w:rsidP="00582DB0">
            <w:pPr>
              <w:cnfStyle w:val="000000100000"/>
              <w:rPr>
                <w:sz w:val="24"/>
                <w:szCs w:val="24"/>
                <w:lang w:val="uk-UA"/>
              </w:rPr>
            </w:pPr>
            <w:r w:rsidRPr="001E2478">
              <w:rPr>
                <w:sz w:val="24"/>
                <w:szCs w:val="24"/>
                <w:lang w:val="uk-UA"/>
              </w:rPr>
              <w:t>Надмірна кількість контактів приватного сектору з органами влади, необхідних для виконання процедури</w:t>
            </w:r>
          </w:p>
        </w:tc>
        <w:tc>
          <w:tcPr>
            <w:tcW w:w="2233" w:type="dxa"/>
          </w:tcPr>
          <w:p w:rsidR="0017345D" w:rsidRPr="001E2478" w:rsidRDefault="0017345D" w:rsidP="00582DB0">
            <w:pPr>
              <w:jc w:val="center"/>
              <w:cnfStyle w:val="000000100000"/>
              <w:rPr>
                <w:sz w:val="24"/>
                <w:szCs w:val="24"/>
                <w:lang w:val="uk-UA"/>
              </w:rPr>
            </w:pPr>
            <w:r>
              <w:rPr>
                <w:sz w:val="24"/>
                <w:szCs w:val="24"/>
                <w:lang w:val="uk-UA"/>
              </w:rPr>
              <w:t>Не виявлено</w:t>
            </w:r>
          </w:p>
        </w:tc>
      </w:tr>
      <w:tr w:rsidR="0017345D" w:rsidTr="00582DB0">
        <w:tc>
          <w:tcPr>
            <w:cnfStyle w:val="001000000000"/>
            <w:tcW w:w="402" w:type="dxa"/>
          </w:tcPr>
          <w:p w:rsidR="0017345D" w:rsidRPr="005A5802" w:rsidRDefault="0017345D" w:rsidP="00582DB0">
            <w:pPr>
              <w:rPr>
                <w:b w:val="0"/>
                <w:sz w:val="24"/>
                <w:szCs w:val="24"/>
                <w:lang w:val="uk-UA"/>
              </w:rPr>
            </w:pPr>
            <w:r w:rsidRPr="005A5802">
              <w:rPr>
                <w:b w:val="0"/>
                <w:sz w:val="24"/>
                <w:szCs w:val="24"/>
                <w:lang w:val="uk-UA"/>
              </w:rPr>
              <w:t>6.</w:t>
            </w:r>
          </w:p>
        </w:tc>
        <w:tc>
          <w:tcPr>
            <w:tcW w:w="6936" w:type="dxa"/>
          </w:tcPr>
          <w:p w:rsidR="0017345D" w:rsidRPr="001E2478" w:rsidRDefault="0017345D" w:rsidP="00582DB0">
            <w:pPr>
              <w:cnfStyle w:val="000000000000"/>
              <w:rPr>
                <w:sz w:val="24"/>
                <w:szCs w:val="24"/>
                <w:lang w:val="uk-UA"/>
              </w:rPr>
            </w:pPr>
            <w:r w:rsidRPr="001E2478">
              <w:rPr>
                <w:sz w:val="24"/>
                <w:szCs w:val="24"/>
                <w:lang w:val="uk-UA"/>
              </w:rPr>
              <w:t>Надмірна кількість органів влади, з якими має контакт приватний сектор згідно процедури</w:t>
            </w:r>
          </w:p>
        </w:tc>
        <w:tc>
          <w:tcPr>
            <w:tcW w:w="2233" w:type="dxa"/>
          </w:tcPr>
          <w:p w:rsidR="0017345D" w:rsidRPr="001E2478" w:rsidRDefault="0017345D" w:rsidP="00582DB0">
            <w:pPr>
              <w:jc w:val="center"/>
              <w:cnfStyle w:val="000000000000"/>
              <w:rPr>
                <w:sz w:val="24"/>
                <w:szCs w:val="24"/>
                <w:lang w:val="uk-UA"/>
              </w:rPr>
            </w:pPr>
            <w:r>
              <w:rPr>
                <w:sz w:val="24"/>
                <w:szCs w:val="24"/>
                <w:lang w:val="uk-UA"/>
              </w:rPr>
              <w:t>Не виявлено</w:t>
            </w:r>
          </w:p>
        </w:tc>
      </w:tr>
      <w:tr w:rsidR="0017345D" w:rsidTr="00582DB0">
        <w:trPr>
          <w:cnfStyle w:val="000000100000"/>
        </w:trPr>
        <w:tc>
          <w:tcPr>
            <w:cnfStyle w:val="001000000000"/>
            <w:tcW w:w="402" w:type="dxa"/>
          </w:tcPr>
          <w:p w:rsidR="0017345D" w:rsidRPr="005A5802" w:rsidRDefault="0017345D" w:rsidP="00582DB0">
            <w:pPr>
              <w:rPr>
                <w:b w:val="0"/>
                <w:sz w:val="24"/>
                <w:szCs w:val="24"/>
                <w:lang w:val="uk-UA"/>
              </w:rPr>
            </w:pPr>
            <w:r w:rsidRPr="005A5802">
              <w:rPr>
                <w:b w:val="0"/>
                <w:sz w:val="24"/>
                <w:szCs w:val="24"/>
                <w:lang w:val="uk-UA"/>
              </w:rPr>
              <w:t>7.</w:t>
            </w:r>
          </w:p>
        </w:tc>
        <w:tc>
          <w:tcPr>
            <w:tcW w:w="6936" w:type="dxa"/>
          </w:tcPr>
          <w:p w:rsidR="0017345D" w:rsidRPr="001E2478" w:rsidRDefault="0017345D" w:rsidP="00582DB0">
            <w:pPr>
              <w:cnfStyle w:val="000000100000"/>
              <w:rPr>
                <w:sz w:val="24"/>
                <w:szCs w:val="24"/>
                <w:lang w:val="uk-UA"/>
              </w:rPr>
            </w:pPr>
            <w:r w:rsidRPr="001E2478">
              <w:rPr>
                <w:sz w:val="24"/>
                <w:szCs w:val="24"/>
                <w:lang w:val="uk-UA"/>
              </w:rPr>
              <w:t>Поєднання нормотворчих та контролюючих функцій в одному органі влади</w:t>
            </w:r>
          </w:p>
        </w:tc>
        <w:tc>
          <w:tcPr>
            <w:tcW w:w="2233" w:type="dxa"/>
          </w:tcPr>
          <w:p w:rsidR="0017345D" w:rsidRPr="001E2478" w:rsidRDefault="0017345D" w:rsidP="00582DB0">
            <w:pPr>
              <w:jc w:val="center"/>
              <w:cnfStyle w:val="000000100000"/>
              <w:rPr>
                <w:sz w:val="24"/>
                <w:szCs w:val="24"/>
                <w:lang w:val="uk-UA"/>
              </w:rPr>
            </w:pPr>
            <w:r>
              <w:rPr>
                <w:sz w:val="24"/>
                <w:szCs w:val="24"/>
                <w:lang w:val="uk-UA"/>
              </w:rPr>
              <w:t>Не виявлено</w:t>
            </w:r>
          </w:p>
        </w:tc>
      </w:tr>
      <w:tr w:rsidR="0017345D" w:rsidTr="00582DB0">
        <w:tc>
          <w:tcPr>
            <w:cnfStyle w:val="001000000000"/>
            <w:tcW w:w="402" w:type="dxa"/>
          </w:tcPr>
          <w:p w:rsidR="0017345D" w:rsidRPr="001E2478" w:rsidRDefault="0017345D" w:rsidP="00582DB0">
            <w:pPr>
              <w:rPr>
                <w:sz w:val="24"/>
                <w:szCs w:val="24"/>
                <w:lang w:val="uk-UA"/>
              </w:rPr>
            </w:pPr>
          </w:p>
        </w:tc>
        <w:tc>
          <w:tcPr>
            <w:tcW w:w="6936" w:type="dxa"/>
          </w:tcPr>
          <w:p w:rsidR="0017345D" w:rsidRPr="001E2478" w:rsidRDefault="0017345D" w:rsidP="00582DB0">
            <w:pPr>
              <w:cnfStyle w:val="000000000000"/>
              <w:rPr>
                <w:sz w:val="24"/>
                <w:szCs w:val="24"/>
                <w:lang w:val="uk-UA"/>
              </w:rPr>
            </w:pPr>
            <w:r w:rsidRPr="001E2478">
              <w:rPr>
                <w:sz w:val="24"/>
                <w:szCs w:val="24"/>
                <w:lang w:val="uk-UA"/>
              </w:rPr>
              <w:t>Всього</w:t>
            </w:r>
          </w:p>
        </w:tc>
        <w:tc>
          <w:tcPr>
            <w:tcW w:w="2233" w:type="dxa"/>
          </w:tcPr>
          <w:p w:rsidR="0017345D" w:rsidRPr="001E2478" w:rsidRDefault="00F07446" w:rsidP="00582DB0">
            <w:pPr>
              <w:jc w:val="center"/>
              <w:cnfStyle w:val="000000000000"/>
              <w:rPr>
                <w:b/>
                <w:sz w:val="24"/>
                <w:szCs w:val="24"/>
                <w:lang w:val="uk-UA"/>
              </w:rPr>
            </w:pPr>
            <w:r>
              <w:rPr>
                <w:b/>
                <w:sz w:val="24"/>
                <w:szCs w:val="24"/>
                <w:lang w:val="uk-UA"/>
              </w:rPr>
              <w:t>1</w:t>
            </w:r>
          </w:p>
        </w:tc>
      </w:tr>
    </w:tbl>
    <w:p w:rsidR="0017345D" w:rsidRPr="001E2478" w:rsidRDefault="0017345D" w:rsidP="0017345D">
      <w:pPr>
        <w:pStyle w:val="a5"/>
        <w:numPr>
          <w:ilvl w:val="0"/>
          <w:numId w:val="2"/>
        </w:numPr>
        <w:spacing w:before="120" w:after="120" w:line="240" w:lineRule="auto"/>
        <w:ind w:left="714" w:hanging="357"/>
        <w:contextualSpacing w:val="0"/>
        <w:rPr>
          <w:b/>
          <w:sz w:val="24"/>
          <w:szCs w:val="24"/>
          <w:lang w:val="uk-UA"/>
        </w:rPr>
      </w:pPr>
      <w:r w:rsidRPr="001E2478">
        <w:rPr>
          <w:b/>
          <w:sz w:val="24"/>
          <w:szCs w:val="24"/>
          <w:lang w:val="uk-UA"/>
        </w:rPr>
        <w:t>Ключові наслідки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3686"/>
        <w:gridCol w:w="2898"/>
      </w:tblGrid>
      <w:tr w:rsidR="0017345D" w:rsidRPr="001E2478" w:rsidTr="00582DB0">
        <w:tc>
          <w:tcPr>
            <w:tcW w:w="2943" w:type="dxa"/>
          </w:tcPr>
          <w:p w:rsidR="0017345D" w:rsidRPr="001E2478" w:rsidRDefault="0017345D" w:rsidP="00582DB0">
            <w:pPr>
              <w:spacing w:after="0" w:line="240" w:lineRule="auto"/>
              <w:jc w:val="center"/>
              <w:rPr>
                <w:sz w:val="24"/>
                <w:szCs w:val="24"/>
                <w:lang w:val="uk-UA"/>
              </w:rPr>
            </w:pPr>
            <w:r w:rsidRPr="001E2478">
              <w:rPr>
                <w:sz w:val="24"/>
                <w:szCs w:val="24"/>
                <w:lang w:val="uk-UA"/>
              </w:rPr>
              <w:t>Стаття законопроекту</w:t>
            </w:r>
          </w:p>
        </w:tc>
        <w:tc>
          <w:tcPr>
            <w:tcW w:w="3686" w:type="dxa"/>
          </w:tcPr>
          <w:p w:rsidR="0017345D" w:rsidRPr="001E2478" w:rsidRDefault="0017345D" w:rsidP="00582DB0">
            <w:pPr>
              <w:spacing w:after="0" w:line="240" w:lineRule="auto"/>
              <w:jc w:val="center"/>
              <w:rPr>
                <w:sz w:val="24"/>
                <w:szCs w:val="24"/>
                <w:lang w:val="uk-UA"/>
              </w:rPr>
            </w:pPr>
            <w:proofErr w:type="spellStart"/>
            <w:r w:rsidRPr="001E2478">
              <w:rPr>
                <w:sz w:val="24"/>
                <w:szCs w:val="24"/>
                <w:lang w:val="uk-UA"/>
              </w:rPr>
              <w:t>Корупціогенний</w:t>
            </w:r>
            <w:proofErr w:type="spellEnd"/>
            <w:r w:rsidRPr="001E2478">
              <w:rPr>
                <w:sz w:val="24"/>
                <w:szCs w:val="24"/>
                <w:lang w:val="uk-UA"/>
              </w:rPr>
              <w:t xml:space="preserve"> чинник</w:t>
            </w:r>
          </w:p>
        </w:tc>
        <w:tc>
          <w:tcPr>
            <w:tcW w:w="2898" w:type="dxa"/>
          </w:tcPr>
          <w:p w:rsidR="0017345D" w:rsidRPr="001E2478" w:rsidRDefault="0017345D" w:rsidP="00582DB0">
            <w:pPr>
              <w:spacing w:after="0" w:line="240" w:lineRule="auto"/>
              <w:jc w:val="center"/>
              <w:rPr>
                <w:sz w:val="24"/>
                <w:szCs w:val="24"/>
                <w:lang w:val="uk-UA"/>
              </w:rPr>
            </w:pPr>
            <w:r w:rsidRPr="001E2478">
              <w:rPr>
                <w:sz w:val="24"/>
                <w:szCs w:val="24"/>
                <w:lang w:val="uk-UA"/>
              </w:rPr>
              <w:t>Наслідок</w:t>
            </w:r>
          </w:p>
        </w:tc>
      </w:tr>
      <w:tr w:rsidR="0017345D" w:rsidRPr="00704AFC" w:rsidTr="00582DB0">
        <w:tc>
          <w:tcPr>
            <w:tcW w:w="2943" w:type="dxa"/>
          </w:tcPr>
          <w:p w:rsidR="0017345D" w:rsidRPr="00553D03" w:rsidRDefault="009D20BA" w:rsidP="003A47BE">
            <w:pPr>
              <w:spacing w:after="0" w:line="240" w:lineRule="auto"/>
              <w:rPr>
                <w:rFonts w:cs="Arial"/>
                <w:sz w:val="24"/>
                <w:szCs w:val="24"/>
                <w:lang w:val="uk-UA"/>
              </w:rPr>
            </w:pPr>
            <w:r w:rsidRPr="00DB69DE">
              <w:rPr>
                <w:lang w:val="uk-UA"/>
              </w:rPr>
              <w:t>Зміни до ст.</w:t>
            </w:r>
            <w:r w:rsidR="003A47BE">
              <w:rPr>
                <w:lang w:val="uk-UA"/>
              </w:rPr>
              <w:t xml:space="preserve"> 140 Земельного кодексу України щодо підстав</w:t>
            </w:r>
            <w:r w:rsidRPr="00DB69DE">
              <w:rPr>
                <w:lang w:val="uk-UA"/>
              </w:rPr>
              <w:t xml:space="preserve"> припинення права власності на земельну ділянку</w:t>
            </w:r>
          </w:p>
        </w:tc>
        <w:tc>
          <w:tcPr>
            <w:tcW w:w="3686" w:type="dxa"/>
          </w:tcPr>
          <w:p w:rsidR="0017345D" w:rsidRPr="00704AFC" w:rsidRDefault="00704AFC" w:rsidP="00582DB0">
            <w:pPr>
              <w:spacing w:after="0" w:line="240" w:lineRule="auto"/>
              <w:jc w:val="both"/>
              <w:rPr>
                <w:rFonts w:cs="Arial"/>
                <w:b/>
                <w:lang w:val="uk-UA"/>
              </w:rPr>
            </w:pPr>
            <w:r w:rsidRPr="00704AFC">
              <w:rPr>
                <w:rFonts w:cs="Arial"/>
                <w:b/>
                <w:lang w:val="uk-UA"/>
              </w:rPr>
              <w:t xml:space="preserve">Порушення балансу інтересів та надмірні обтяження. </w:t>
            </w:r>
          </w:p>
          <w:p w:rsidR="00704AFC" w:rsidRPr="00553D03" w:rsidRDefault="00704AFC" w:rsidP="00704AFC">
            <w:pPr>
              <w:spacing w:after="0" w:line="240" w:lineRule="auto"/>
              <w:jc w:val="both"/>
              <w:rPr>
                <w:rFonts w:cs="Arial"/>
                <w:sz w:val="24"/>
                <w:szCs w:val="24"/>
                <w:lang w:val="uk-UA"/>
              </w:rPr>
            </w:pPr>
            <w:r>
              <w:rPr>
                <w:rFonts w:cs="Arial"/>
                <w:lang w:val="uk-UA"/>
              </w:rPr>
              <w:t xml:space="preserve">Уся відповідальність за неналежне використання земель сільськогосподарського призначення покладається лише на власників земельних ділянок, а не користувачів (орендарів). </w:t>
            </w:r>
          </w:p>
        </w:tc>
        <w:tc>
          <w:tcPr>
            <w:tcW w:w="2898" w:type="dxa"/>
          </w:tcPr>
          <w:p w:rsidR="0017345D" w:rsidRDefault="00107C33" w:rsidP="00582DB0">
            <w:pPr>
              <w:spacing w:after="0" w:line="240" w:lineRule="auto"/>
              <w:jc w:val="both"/>
              <w:rPr>
                <w:rFonts w:cs="Arial"/>
                <w:lang w:val="uk-UA"/>
              </w:rPr>
            </w:pPr>
            <w:r>
              <w:rPr>
                <w:rFonts w:cs="Arial"/>
                <w:lang w:val="uk-UA"/>
              </w:rPr>
              <w:t>Безпідставне п</w:t>
            </w:r>
            <w:r w:rsidR="00704AFC">
              <w:rPr>
                <w:rFonts w:cs="Arial"/>
                <w:lang w:val="uk-UA"/>
              </w:rPr>
              <w:t>озбавлення землевласників їхніх земельних ділянок</w:t>
            </w:r>
            <w:r>
              <w:rPr>
                <w:rFonts w:cs="Arial"/>
                <w:lang w:val="uk-UA"/>
              </w:rPr>
              <w:t xml:space="preserve">; розповсюдження корупційних змов між орендарями та представниками влади </w:t>
            </w:r>
          </w:p>
          <w:p w:rsidR="00704AFC" w:rsidRPr="00704AFC" w:rsidRDefault="00704AFC" w:rsidP="00582DB0">
            <w:pPr>
              <w:spacing w:after="0" w:line="240" w:lineRule="auto"/>
              <w:jc w:val="both"/>
              <w:rPr>
                <w:rFonts w:cs="Arial"/>
                <w:lang w:val="uk-UA"/>
              </w:rPr>
            </w:pPr>
          </w:p>
        </w:tc>
      </w:tr>
    </w:tbl>
    <w:p w:rsidR="0017345D" w:rsidRPr="005A5802" w:rsidRDefault="0017345D" w:rsidP="0017345D">
      <w:pPr>
        <w:spacing w:before="120" w:after="0" w:line="240" w:lineRule="auto"/>
        <w:rPr>
          <w:sz w:val="24"/>
          <w:szCs w:val="24"/>
          <w:lang w:val="uk-UA"/>
        </w:rPr>
      </w:pPr>
      <w:r w:rsidRPr="005A5802">
        <w:rPr>
          <w:sz w:val="24"/>
          <w:szCs w:val="24"/>
          <w:lang w:val="uk-UA"/>
        </w:rPr>
        <w:t xml:space="preserve">Більш детальне викладення оцінки </w:t>
      </w:r>
      <w:proofErr w:type="spellStart"/>
      <w:r w:rsidRPr="005A5802">
        <w:rPr>
          <w:sz w:val="24"/>
          <w:szCs w:val="24"/>
          <w:lang w:val="uk-UA"/>
        </w:rPr>
        <w:t>корупціогенних</w:t>
      </w:r>
      <w:proofErr w:type="spellEnd"/>
      <w:r w:rsidRPr="005A5802">
        <w:rPr>
          <w:sz w:val="24"/>
          <w:szCs w:val="24"/>
          <w:lang w:val="uk-UA"/>
        </w:rPr>
        <w:t xml:space="preserve"> факторів та рекомендацій викладено у Додатку 1. </w:t>
      </w:r>
    </w:p>
    <w:p w:rsidR="0017345D" w:rsidRPr="001E2478" w:rsidRDefault="0017345D" w:rsidP="0017345D">
      <w:pPr>
        <w:pStyle w:val="a5"/>
        <w:numPr>
          <w:ilvl w:val="0"/>
          <w:numId w:val="2"/>
        </w:numPr>
        <w:spacing w:before="120" w:after="0" w:line="240" w:lineRule="auto"/>
        <w:contextualSpacing w:val="0"/>
        <w:rPr>
          <w:b/>
          <w:sz w:val="24"/>
          <w:szCs w:val="24"/>
          <w:lang w:val="uk-UA"/>
        </w:rPr>
      </w:pPr>
      <w:r w:rsidRPr="001E2478">
        <w:rPr>
          <w:b/>
          <w:sz w:val="24"/>
          <w:szCs w:val="24"/>
          <w:lang w:val="uk-UA"/>
        </w:rPr>
        <w:t xml:space="preserve">Суб’єкти корупційних відносин </w:t>
      </w:r>
    </w:p>
    <w:p w:rsidR="0017345D" w:rsidRPr="00553D03" w:rsidRDefault="0017345D" w:rsidP="00107C33">
      <w:pPr>
        <w:spacing w:before="120" w:after="0" w:line="240" w:lineRule="auto"/>
        <w:rPr>
          <w:sz w:val="24"/>
          <w:szCs w:val="24"/>
          <w:lang w:val="uk-UA"/>
        </w:rPr>
      </w:pPr>
      <w:r w:rsidRPr="001E2478">
        <w:rPr>
          <w:b/>
          <w:i/>
          <w:sz w:val="24"/>
          <w:szCs w:val="24"/>
          <w:lang w:val="uk-UA"/>
        </w:rPr>
        <w:lastRenderedPageBreak/>
        <w:t>Хто може отримувати корупційні вигоди:</w:t>
      </w:r>
      <w:r w:rsidRPr="001E2478">
        <w:rPr>
          <w:sz w:val="24"/>
          <w:szCs w:val="24"/>
          <w:lang w:val="uk-UA"/>
        </w:rPr>
        <w:t xml:space="preserve"> </w:t>
      </w:r>
      <w:r w:rsidR="00107C33" w:rsidRPr="00E8425A">
        <w:rPr>
          <w:sz w:val="24"/>
          <w:szCs w:val="24"/>
          <w:lang w:val="uk-UA"/>
        </w:rPr>
        <w:t>представники органів місцевого самоврядування, державні інспектори, судді</w:t>
      </w:r>
      <w:r w:rsidR="00F07446">
        <w:rPr>
          <w:sz w:val="24"/>
          <w:szCs w:val="24"/>
          <w:lang w:val="uk-UA"/>
        </w:rPr>
        <w:t xml:space="preserve">, орендарі земельних ділянок </w:t>
      </w:r>
    </w:p>
    <w:p w:rsidR="0017345D" w:rsidRPr="001E2478" w:rsidRDefault="0017345D" w:rsidP="0017345D">
      <w:pPr>
        <w:spacing w:before="120" w:after="0" w:line="240" w:lineRule="auto"/>
        <w:rPr>
          <w:sz w:val="24"/>
          <w:szCs w:val="24"/>
          <w:lang w:val="uk-UA"/>
        </w:rPr>
      </w:pPr>
      <w:r w:rsidRPr="001E2478">
        <w:rPr>
          <w:b/>
          <w:i/>
          <w:sz w:val="24"/>
          <w:szCs w:val="24"/>
          <w:lang w:val="uk-UA"/>
        </w:rPr>
        <w:t>Методологія оцінки обсягу корупційної вигоди та результати оцінки:</w:t>
      </w:r>
      <w:r w:rsidRPr="001E2478">
        <w:rPr>
          <w:sz w:val="24"/>
          <w:szCs w:val="24"/>
          <w:lang w:val="uk-UA"/>
        </w:rPr>
        <w:t xml:space="preserve"> </w:t>
      </w:r>
      <w:r>
        <w:rPr>
          <w:sz w:val="24"/>
          <w:szCs w:val="24"/>
          <w:lang w:val="uk-UA"/>
        </w:rPr>
        <w:t>важко оцінити</w:t>
      </w:r>
    </w:p>
    <w:p w:rsidR="0017345D" w:rsidRPr="001E2478" w:rsidRDefault="0017345D" w:rsidP="0017345D">
      <w:pPr>
        <w:spacing w:before="120" w:after="0" w:line="240" w:lineRule="auto"/>
        <w:rPr>
          <w:b/>
          <w:i/>
          <w:sz w:val="24"/>
          <w:szCs w:val="24"/>
          <w:lang w:val="uk-UA"/>
        </w:rPr>
      </w:pPr>
      <w:r w:rsidRPr="001E2478">
        <w:rPr>
          <w:b/>
          <w:i/>
          <w:sz w:val="24"/>
          <w:szCs w:val="24"/>
          <w:lang w:val="uk-UA"/>
        </w:rPr>
        <w:t xml:space="preserve">Хто платитиме корупційні внески: </w:t>
      </w:r>
      <w:r w:rsidR="00107C33" w:rsidRPr="00E8425A">
        <w:rPr>
          <w:sz w:val="24"/>
          <w:szCs w:val="24"/>
          <w:lang w:val="uk-UA"/>
        </w:rPr>
        <w:t>сотні тисяч власників земельних ділянок</w:t>
      </w:r>
    </w:p>
    <w:p w:rsidR="0017345D" w:rsidRPr="001E2478" w:rsidRDefault="0017345D" w:rsidP="0017345D">
      <w:pPr>
        <w:spacing w:before="120" w:after="0" w:line="240" w:lineRule="auto"/>
        <w:rPr>
          <w:sz w:val="24"/>
          <w:szCs w:val="24"/>
          <w:lang w:val="uk-UA"/>
        </w:rPr>
      </w:pPr>
      <w:r w:rsidRPr="001E2478">
        <w:rPr>
          <w:b/>
          <w:i/>
          <w:sz w:val="24"/>
          <w:szCs w:val="24"/>
          <w:lang w:val="uk-UA"/>
        </w:rPr>
        <w:t>Методологія оцінки обсягу корупційних втрат та результати оцінки:</w:t>
      </w:r>
      <w:r w:rsidRPr="001E2478">
        <w:rPr>
          <w:sz w:val="24"/>
          <w:szCs w:val="24"/>
          <w:lang w:val="uk-UA"/>
        </w:rPr>
        <w:t xml:space="preserve"> </w:t>
      </w:r>
      <w:r>
        <w:rPr>
          <w:sz w:val="24"/>
          <w:szCs w:val="24"/>
          <w:lang w:val="uk-UA"/>
        </w:rPr>
        <w:t>важко оцінити</w:t>
      </w:r>
    </w:p>
    <w:p w:rsidR="0017345D" w:rsidRDefault="0017345D" w:rsidP="0017345D">
      <w:pPr>
        <w:pStyle w:val="a5"/>
        <w:numPr>
          <w:ilvl w:val="0"/>
          <w:numId w:val="2"/>
        </w:numPr>
        <w:spacing w:before="120" w:after="0" w:line="240" w:lineRule="auto"/>
        <w:ind w:left="714" w:hanging="357"/>
        <w:contextualSpacing w:val="0"/>
        <w:rPr>
          <w:b/>
          <w:sz w:val="24"/>
          <w:szCs w:val="24"/>
          <w:lang w:val="uk-UA"/>
        </w:rPr>
      </w:pPr>
      <w:r w:rsidRPr="001E2478">
        <w:rPr>
          <w:b/>
          <w:sz w:val="24"/>
          <w:szCs w:val="24"/>
          <w:lang w:val="uk-UA"/>
        </w:rPr>
        <w:t xml:space="preserve">Висновки та рекомендації </w:t>
      </w:r>
    </w:p>
    <w:p w:rsidR="00107C33" w:rsidRPr="00107C33" w:rsidRDefault="00107C33" w:rsidP="00107C33">
      <w:pPr>
        <w:spacing w:before="120" w:after="0" w:line="240" w:lineRule="auto"/>
        <w:rPr>
          <w:b/>
          <w:sz w:val="24"/>
          <w:szCs w:val="24"/>
          <w:lang w:val="uk-UA"/>
        </w:rPr>
      </w:pPr>
      <w:r>
        <w:rPr>
          <w:sz w:val="24"/>
          <w:szCs w:val="24"/>
          <w:lang w:val="uk-UA"/>
        </w:rPr>
        <w:t xml:space="preserve">Законопроект містить корупційні ризики внаслідок порушення балансу інтересів та надмірних обтяжень для власників земельних ділянок. </w:t>
      </w:r>
    </w:p>
    <w:p w:rsidR="0017345D" w:rsidRDefault="0017345D" w:rsidP="0017345D">
      <w:pPr>
        <w:spacing w:before="120" w:after="0" w:line="240" w:lineRule="auto"/>
        <w:rPr>
          <w:b/>
          <w:sz w:val="24"/>
          <w:szCs w:val="24"/>
          <w:lang w:val="uk-UA"/>
        </w:rPr>
      </w:pPr>
      <w:r w:rsidRPr="001E2478">
        <w:rPr>
          <w:b/>
          <w:sz w:val="24"/>
          <w:szCs w:val="24"/>
          <w:lang w:val="uk-UA"/>
        </w:rPr>
        <w:t xml:space="preserve">З урахуванням цього висновку, </w:t>
      </w:r>
      <w:r>
        <w:rPr>
          <w:b/>
          <w:sz w:val="24"/>
          <w:szCs w:val="24"/>
          <w:lang w:val="uk-UA"/>
        </w:rPr>
        <w:t>Громадська експертна рада</w:t>
      </w:r>
      <w:r w:rsidRPr="001E2478">
        <w:rPr>
          <w:b/>
          <w:sz w:val="24"/>
          <w:szCs w:val="24"/>
          <w:lang w:val="uk-UA"/>
        </w:rPr>
        <w:t xml:space="preserve"> рекомендує</w:t>
      </w:r>
      <w:r w:rsidRPr="00107C33">
        <w:rPr>
          <w:b/>
          <w:sz w:val="24"/>
          <w:szCs w:val="24"/>
          <w:lang w:val="uk-UA"/>
        </w:rPr>
        <w:t xml:space="preserve"> </w:t>
      </w:r>
      <w:r>
        <w:rPr>
          <w:b/>
          <w:sz w:val="24"/>
          <w:szCs w:val="24"/>
          <w:lang w:val="uk-UA"/>
        </w:rPr>
        <w:t xml:space="preserve">доопрацювати </w:t>
      </w:r>
      <w:r w:rsidRPr="001E2478">
        <w:rPr>
          <w:b/>
          <w:sz w:val="24"/>
          <w:szCs w:val="24"/>
          <w:lang w:val="uk-UA"/>
        </w:rPr>
        <w:t>законопроект</w:t>
      </w:r>
      <w:r>
        <w:rPr>
          <w:b/>
          <w:sz w:val="24"/>
          <w:szCs w:val="24"/>
          <w:lang w:val="uk-UA"/>
        </w:rPr>
        <w:t xml:space="preserve"> за результатами розгляду в першому читанні.</w:t>
      </w:r>
    </w:p>
    <w:p w:rsidR="0017345D" w:rsidRDefault="0017345D" w:rsidP="0017345D">
      <w:pPr>
        <w:spacing w:before="120" w:after="0" w:line="240" w:lineRule="auto"/>
        <w:rPr>
          <w:b/>
          <w:sz w:val="24"/>
          <w:szCs w:val="24"/>
          <w:lang w:val="uk-UA"/>
        </w:rPr>
      </w:pPr>
    </w:p>
    <w:p w:rsidR="0017345D" w:rsidRDefault="0017345D" w:rsidP="0017345D">
      <w:pPr>
        <w:spacing w:before="120" w:after="0" w:line="240" w:lineRule="auto"/>
        <w:rPr>
          <w:b/>
          <w:sz w:val="24"/>
          <w:szCs w:val="24"/>
          <w:lang w:val="uk-UA"/>
        </w:rPr>
        <w:sectPr w:rsidR="0017345D" w:rsidSect="00160681">
          <w:pgSz w:w="11906" w:h="16838"/>
          <w:pgMar w:top="1134" w:right="850" w:bottom="1134" w:left="1701" w:header="708" w:footer="708" w:gutter="0"/>
          <w:cols w:space="708"/>
          <w:docGrid w:linePitch="360"/>
        </w:sectPr>
      </w:pPr>
    </w:p>
    <w:p w:rsidR="0017345D" w:rsidRDefault="0017345D" w:rsidP="0017345D">
      <w:pPr>
        <w:spacing w:before="120" w:after="0" w:line="240" w:lineRule="auto"/>
        <w:jc w:val="center"/>
        <w:rPr>
          <w:b/>
          <w:sz w:val="24"/>
          <w:szCs w:val="24"/>
          <w:lang w:val="uk-UA"/>
        </w:rPr>
      </w:pPr>
      <w:r w:rsidRPr="00950B79">
        <w:rPr>
          <w:b/>
          <w:sz w:val="24"/>
          <w:szCs w:val="24"/>
          <w:lang w:val="uk-UA"/>
        </w:rPr>
        <w:lastRenderedPageBreak/>
        <w:t>Результати громадської антикорупційної експертизи</w:t>
      </w:r>
    </w:p>
    <w:p w:rsidR="0017345D" w:rsidRDefault="0017345D" w:rsidP="0017345D">
      <w:pPr>
        <w:spacing w:before="120" w:after="0" w:line="240" w:lineRule="auto"/>
        <w:jc w:val="center"/>
        <w:rPr>
          <w:rFonts w:eastAsia="Calibri" w:cs="Arial"/>
          <w:b/>
          <w:sz w:val="24"/>
          <w:szCs w:val="24"/>
          <w:lang w:val="uk-UA"/>
        </w:rPr>
      </w:pPr>
      <w:r w:rsidRPr="00577905">
        <w:rPr>
          <w:rFonts w:eastAsia="Calibri" w:cs="Arial"/>
          <w:b/>
          <w:sz w:val="24"/>
          <w:szCs w:val="24"/>
          <w:lang w:val="uk-UA"/>
        </w:rPr>
        <w:t>Проект Закону України</w:t>
      </w:r>
      <w:r>
        <w:rPr>
          <w:rFonts w:eastAsia="Calibri" w:cs="Arial"/>
          <w:b/>
          <w:sz w:val="24"/>
          <w:szCs w:val="24"/>
          <w:lang w:val="uk-UA"/>
        </w:rPr>
        <w:t xml:space="preserve"> </w:t>
      </w:r>
      <w:r>
        <w:rPr>
          <w:b/>
          <w:sz w:val="24"/>
          <w:szCs w:val="24"/>
          <w:lang w:val="uk-UA"/>
        </w:rPr>
        <w:t xml:space="preserve">про </w:t>
      </w:r>
      <w:r w:rsidRPr="00A15BFD">
        <w:rPr>
          <w:b/>
          <w:sz w:val="24"/>
          <w:szCs w:val="24"/>
          <w:lang w:val="uk-UA"/>
        </w:rPr>
        <w:t>внесення змін до деяких законодавчих актів України щодо вдосконалення правового регулювання користування землею</w:t>
      </w:r>
      <w:r>
        <w:rPr>
          <w:rFonts w:eastAsia="Calibri" w:cs="Arial"/>
          <w:b/>
          <w:sz w:val="24"/>
          <w:szCs w:val="24"/>
          <w:lang w:val="uk-UA"/>
        </w:rPr>
        <w:t>, № 2583а</w:t>
      </w:r>
    </w:p>
    <w:p w:rsidR="0017345D" w:rsidRDefault="0017345D" w:rsidP="0017345D">
      <w:pPr>
        <w:spacing w:before="120" w:after="0" w:line="240" w:lineRule="auto"/>
        <w:jc w:val="center"/>
        <w:rPr>
          <w:b/>
          <w:sz w:val="24"/>
          <w:szCs w:val="24"/>
          <w:lang w:val="uk-UA"/>
        </w:rPr>
      </w:pPr>
      <w:r w:rsidRPr="00950B79">
        <w:rPr>
          <w:b/>
          <w:sz w:val="24"/>
          <w:szCs w:val="24"/>
          <w:lang w:val="uk-UA"/>
        </w:rPr>
        <w:t xml:space="preserve">Додаток 1. Детальна оцінка наявності </w:t>
      </w:r>
      <w:proofErr w:type="spellStart"/>
      <w:r w:rsidRPr="00950B79">
        <w:rPr>
          <w:b/>
          <w:sz w:val="24"/>
          <w:szCs w:val="24"/>
          <w:lang w:val="uk-UA"/>
        </w:rPr>
        <w:t>корупціогенних</w:t>
      </w:r>
      <w:proofErr w:type="spellEnd"/>
      <w:r w:rsidRPr="00950B79">
        <w:rPr>
          <w:b/>
          <w:sz w:val="24"/>
          <w:szCs w:val="24"/>
          <w:lang w:val="uk-UA"/>
        </w:rPr>
        <w:t xml:space="preserve"> факторів</w:t>
      </w:r>
    </w:p>
    <w:p w:rsidR="0017345D" w:rsidRPr="00A85A73" w:rsidRDefault="0017345D" w:rsidP="0017345D">
      <w:pPr>
        <w:spacing w:after="0" w:line="240" w:lineRule="auto"/>
        <w:jc w:val="center"/>
        <w:rPr>
          <w:rFonts w:cs="Arial"/>
          <w:lang w:val="uk-UA"/>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72"/>
        <w:gridCol w:w="2267"/>
        <w:gridCol w:w="3519"/>
        <w:gridCol w:w="2675"/>
      </w:tblGrid>
      <w:tr w:rsidR="00DB69DE" w:rsidRPr="00A85A73" w:rsidTr="00DB69DE">
        <w:tc>
          <w:tcPr>
            <w:tcW w:w="2223" w:type="pct"/>
          </w:tcPr>
          <w:p w:rsidR="0017345D" w:rsidRPr="00A85A73" w:rsidRDefault="0017345D" w:rsidP="00582DB0">
            <w:pPr>
              <w:spacing w:after="0" w:line="240" w:lineRule="auto"/>
              <w:jc w:val="center"/>
              <w:rPr>
                <w:lang w:val="uk-UA"/>
              </w:rPr>
            </w:pPr>
            <w:r w:rsidRPr="00A85A73">
              <w:rPr>
                <w:b/>
                <w:bCs/>
                <w:lang w:val="uk-UA"/>
              </w:rPr>
              <w:t>Зміст пропонованого положення (норми) проекту Закону</w:t>
            </w:r>
          </w:p>
        </w:tc>
        <w:tc>
          <w:tcPr>
            <w:tcW w:w="744" w:type="pct"/>
          </w:tcPr>
          <w:p w:rsidR="0017345D" w:rsidRPr="00A85A73" w:rsidRDefault="0017345D" w:rsidP="00582DB0">
            <w:pPr>
              <w:spacing w:after="0" w:line="240" w:lineRule="auto"/>
              <w:jc w:val="center"/>
              <w:rPr>
                <w:b/>
                <w:bCs/>
                <w:lang w:val="uk-UA"/>
              </w:rPr>
            </w:pPr>
            <w:r w:rsidRPr="00A85A73">
              <w:rPr>
                <w:b/>
                <w:bCs/>
                <w:lang w:val="uk-UA"/>
              </w:rPr>
              <w:t xml:space="preserve">Виявлені </w:t>
            </w:r>
            <w:proofErr w:type="spellStart"/>
            <w:r w:rsidRPr="00A85A73">
              <w:rPr>
                <w:b/>
                <w:bCs/>
                <w:lang w:val="uk-UA"/>
              </w:rPr>
              <w:t>корупціогенні</w:t>
            </w:r>
            <w:proofErr w:type="spellEnd"/>
            <w:r w:rsidRPr="00A85A73">
              <w:rPr>
                <w:b/>
                <w:bCs/>
                <w:lang w:val="uk-UA"/>
              </w:rPr>
              <w:t xml:space="preserve"> чинники</w:t>
            </w:r>
          </w:p>
        </w:tc>
        <w:tc>
          <w:tcPr>
            <w:tcW w:w="1155" w:type="pct"/>
          </w:tcPr>
          <w:p w:rsidR="0017345D" w:rsidRPr="00A85A73" w:rsidRDefault="0017345D" w:rsidP="00582DB0">
            <w:pPr>
              <w:spacing w:after="0" w:line="240" w:lineRule="auto"/>
              <w:jc w:val="center"/>
              <w:rPr>
                <w:b/>
                <w:bCs/>
                <w:lang w:val="uk-UA"/>
              </w:rPr>
            </w:pPr>
            <w:r w:rsidRPr="00A85A73">
              <w:rPr>
                <w:b/>
                <w:bCs/>
                <w:lang w:val="uk-UA"/>
              </w:rPr>
              <w:t>Наслідки прийняття акту</w:t>
            </w:r>
          </w:p>
        </w:tc>
        <w:tc>
          <w:tcPr>
            <w:tcW w:w="878" w:type="pct"/>
          </w:tcPr>
          <w:p w:rsidR="0017345D" w:rsidRPr="00A85A73" w:rsidRDefault="0017345D" w:rsidP="00582DB0">
            <w:pPr>
              <w:spacing w:after="0" w:line="240" w:lineRule="auto"/>
              <w:jc w:val="center"/>
              <w:rPr>
                <w:b/>
                <w:bCs/>
                <w:lang w:val="uk-UA"/>
              </w:rPr>
            </w:pPr>
            <w:r w:rsidRPr="00A85A73">
              <w:rPr>
                <w:b/>
                <w:bCs/>
                <w:lang w:val="uk-UA"/>
              </w:rPr>
              <w:t xml:space="preserve">Рекомендації щодо усунення </w:t>
            </w:r>
            <w:proofErr w:type="spellStart"/>
            <w:r w:rsidRPr="00A85A73">
              <w:rPr>
                <w:b/>
                <w:bCs/>
                <w:lang w:val="uk-UA"/>
              </w:rPr>
              <w:t>корупціогенних</w:t>
            </w:r>
            <w:proofErr w:type="spellEnd"/>
            <w:r w:rsidRPr="00A85A73">
              <w:rPr>
                <w:b/>
                <w:bCs/>
                <w:lang w:val="uk-UA"/>
              </w:rPr>
              <w:t xml:space="preserve"> норм та чинників</w:t>
            </w:r>
          </w:p>
        </w:tc>
      </w:tr>
      <w:tr w:rsidR="00DB69DE" w:rsidRPr="00A85A73" w:rsidTr="00DB69DE">
        <w:tc>
          <w:tcPr>
            <w:tcW w:w="2223" w:type="pct"/>
          </w:tcPr>
          <w:p w:rsidR="00DB69DE" w:rsidRPr="00DB69DE" w:rsidRDefault="00DB69DE" w:rsidP="00582DB0">
            <w:pPr>
              <w:spacing w:after="0" w:line="240" w:lineRule="auto"/>
              <w:rPr>
                <w:lang w:val="uk-UA"/>
              </w:rPr>
            </w:pPr>
            <w:r w:rsidRPr="00DB69DE">
              <w:rPr>
                <w:lang w:val="uk-UA"/>
              </w:rPr>
              <w:t>Зміни до ст. 140 Земельного кодексу України:</w:t>
            </w:r>
          </w:p>
          <w:p w:rsidR="00DB69DE" w:rsidRPr="00DB69DE" w:rsidRDefault="00DB69DE" w:rsidP="00582DB0">
            <w:pPr>
              <w:spacing w:after="0" w:line="240" w:lineRule="auto"/>
              <w:rPr>
                <w:lang w:val="uk-UA"/>
              </w:rPr>
            </w:pPr>
            <w:r w:rsidRPr="00DB69DE">
              <w:rPr>
                <w:lang w:val="uk-UA"/>
              </w:rPr>
              <w:t>«Підставами припинення права власності на земельну ділянку є:</w:t>
            </w:r>
          </w:p>
          <w:p w:rsidR="00DB69DE" w:rsidRPr="00DB69DE" w:rsidRDefault="00DB69DE" w:rsidP="00582DB0">
            <w:pPr>
              <w:spacing w:after="0" w:line="240" w:lineRule="auto"/>
              <w:rPr>
                <w:lang w:val="uk-UA"/>
              </w:rPr>
            </w:pPr>
            <w:r w:rsidRPr="00DB69DE">
              <w:rPr>
                <w:lang w:val="uk-UA"/>
              </w:rPr>
              <w:t>…</w:t>
            </w:r>
          </w:p>
          <w:p w:rsidR="00DB69DE" w:rsidRPr="00DB69DE" w:rsidRDefault="00DB69DE" w:rsidP="00582DB0">
            <w:pPr>
              <w:spacing w:after="0" w:line="240" w:lineRule="auto"/>
              <w:rPr>
                <w:lang w:val="uk-UA"/>
              </w:rPr>
            </w:pPr>
            <w:r w:rsidRPr="00DB69DE">
              <w:t>є) не використання за цільовим призначенням земельної ділянки сільськогосподарського призначення, що передана у власність для ведення товарного сільськогосподарського виробництва.</w:t>
            </w:r>
            <w:r w:rsidRPr="00DB69DE">
              <w:rPr>
                <w:lang w:val="uk-UA"/>
              </w:rPr>
              <w:t>»</w:t>
            </w:r>
          </w:p>
          <w:p w:rsidR="00DB69DE" w:rsidRPr="00DB69DE" w:rsidRDefault="00DB69DE" w:rsidP="00582DB0">
            <w:pPr>
              <w:spacing w:after="0" w:line="240" w:lineRule="auto"/>
              <w:rPr>
                <w:lang w:val="uk-UA"/>
              </w:rPr>
            </w:pPr>
          </w:p>
          <w:p w:rsidR="00DB69DE" w:rsidRPr="00DB69DE" w:rsidRDefault="00DB69DE" w:rsidP="00582DB0">
            <w:pPr>
              <w:spacing w:after="0" w:line="240" w:lineRule="auto"/>
              <w:rPr>
                <w:lang w:val="uk-UA"/>
              </w:rPr>
            </w:pPr>
            <w:r w:rsidRPr="00DB69DE">
              <w:rPr>
                <w:lang w:val="uk-UA"/>
              </w:rPr>
              <w:t>Стаття 144-1. Порядок припинення права власності на земельну ділянку сільськогосподарського призначення, що передана у власність для ведення товарного сільськогосподарського виробництва, у разі її невикористання: 1. Не використання за цільовим призначенням земельної ділянки сільськогосподарського призначення, що передана у власність для ведення товарного сільськогосподарського виробництва, є підставою припинення права власності на таку земельну ділянку, якщо встановлено факт:</w:t>
            </w:r>
          </w:p>
          <w:p w:rsidR="00DB69DE" w:rsidRPr="00DB69DE" w:rsidRDefault="00DB69DE" w:rsidP="00582DB0">
            <w:pPr>
              <w:spacing w:after="0" w:line="240" w:lineRule="auto"/>
              <w:rPr>
                <w:lang w:val="uk-UA"/>
              </w:rPr>
            </w:pPr>
            <w:r w:rsidRPr="00DB69DE">
              <w:rPr>
                <w:lang w:val="uk-UA"/>
              </w:rPr>
              <w:t>- на ріллі не здійснюються роботи із вирощування сільськогосподарських культур та обробки ґрунту;</w:t>
            </w:r>
          </w:p>
          <w:p w:rsidR="00DB69DE" w:rsidRPr="00DB69DE" w:rsidRDefault="00DB69DE" w:rsidP="00582DB0">
            <w:pPr>
              <w:spacing w:after="0" w:line="240" w:lineRule="auto"/>
              <w:rPr>
                <w:lang w:val="uk-UA"/>
              </w:rPr>
            </w:pPr>
            <w:r w:rsidRPr="00DB69DE">
              <w:rPr>
                <w:lang w:val="uk-UA"/>
              </w:rPr>
              <w:t>- на ріллі роботи із вирощування сільськогосподарських культур та обробки ґрунту здійснюються третьою особою за відсутності укладеного із дотриманням передбачених законом вимог договору оренди земельної ділянки або іншого договору, який надає право користування такою земельною ділянкою;</w:t>
            </w:r>
          </w:p>
          <w:p w:rsidR="00DB69DE" w:rsidRPr="00DB69DE" w:rsidRDefault="00DB69DE" w:rsidP="00582DB0">
            <w:pPr>
              <w:spacing w:after="0" w:line="240" w:lineRule="auto"/>
              <w:rPr>
                <w:lang w:val="uk-UA"/>
              </w:rPr>
            </w:pPr>
            <w:r w:rsidRPr="00DB69DE">
              <w:rPr>
                <w:lang w:val="uk-UA"/>
              </w:rPr>
              <w:t>- на сіножатях не проводиться сінокосіння;</w:t>
            </w:r>
          </w:p>
          <w:p w:rsidR="00DB69DE" w:rsidRPr="00DB69DE" w:rsidRDefault="00DB69DE" w:rsidP="00582DB0">
            <w:pPr>
              <w:spacing w:after="0" w:line="240" w:lineRule="auto"/>
              <w:rPr>
                <w:lang w:val="uk-UA"/>
              </w:rPr>
            </w:pPr>
            <w:r w:rsidRPr="00DB69DE">
              <w:rPr>
                <w:lang w:val="uk-UA"/>
              </w:rPr>
              <w:t>- на сіножатях зміст бур'янистих трав у структурі травостою перевищує 30 відсотків площі земельної ділянки;</w:t>
            </w:r>
          </w:p>
          <w:p w:rsidR="00DB69DE" w:rsidRPr="00DB69DE" w:rsidRDefault="00DB69DE" w:rsidP="00582DB0">
            <w:pPr>
              <w:spacing w:after="0" w:line="240" w:lineRule="auto"/>
              <w:rPr>
                <w:lang w:val="uk-UA"/>
              </w:rPr>
            </w:pPr>
            <w:r w:rsidRPr="00DB69DE">
              <w:rPr>
                <w:lang w:val="uk-UA"/>
              </w:rPr>
              <w:lastRenderedPageBreak/>
              <w:t>- на пасовищах не проводиться випас худоби;</w:t>
            </w:r>
          </w:p>
          <w:p w:rsidR="00DB69DE" w:rsidRPr="00DB69DE" w:rsidRDefault="00DB69DE" w:rsidP="00582DB0">
            <w:pPr>
              <w:spacing w:after="0" w:line="240" w:lineRule="auto"/>
              <w:rPr>
                <w:lang w:val="uk-UA"/>
              </w:rPr>
            </w:pPr>
            <w:r w:rsidRPr="00DB69DE">
              <w:rPr>
                <w:lang w:val="uk-UA"/>
              </w:rPr>
              <w:t>- на багаторічних насадженнях не проводяться роботи із догляду та збиранню врожаю багаторічних насаджень, не здійснюється розкорчування списаних багаторічних насаджень;</w:t>
            </w:r>
          </w:p>
          <w:p w:rsidR="00DB69DE" w:rsidRPr="00DB69DE" w:rsidRDefault="00DB69DE" w:rsidP="00582DB0">
            <w:pPr>
              <w:spacing w:after="0" w:line="240" w:lineRule="auto"/>
              <w:rPr>
                <w:lang w:val="uk-UA"/>
              </w:rPr>
            </w:pPr>
            <w:r w:rsidRPr="00DB69DE">
              <w:rPr>
                <w:lang w:val="uk-UA"/>
              </w:rPr>
              <w:t>- заростання бур'янами, чагарниками і / або дрібноліссям становить на ріллі понад 15 відсотків площі земельної ділянки;</w:t>
            </w:r>
          </w:p>
          <w:p w:rsidR="00DB69DE" w:rsidRPr="00DB69DE" w:rsidRDefault="00DB69DE" w:rsidP="00582DB0">
            <w:pPr>
              <w:spacing w:after="0" w:line="240" w:lineRule="auto"/>
              <w:rPr>
                <w:lang w:val="uk-UA"/>
              </w:rPr>
            </w:pPr>
            <w:r w:rsidRPr="00DB69DE">
              <w:rPr>
                <w:lang w:val="uk-UA"/>
              </w:rPr>
              <w:t>- заростання бур'янами, чагарниками і / або дрібноліссям на інших видах сільськогосподарських угідь становить понад 30 відсотків;</w:t>
            </w:r>
          </w:p>
          <w:p w:rsidR="00DB69DE" w:rsidRPr="00DB69DE" w:rsidRDefault="00DB69DE" w:rsidP="00582DB0">
            <w:pPr>
              <w:spacing w:after="0" w:line="240" w:lineRule="auto"/>
              <w:rPr>
                <w:lang w:val="uk-UA"/>
              </w:rPr>
            </w:pPr>
            <w:r w:rsidRPr="00DB69DE">
              <w:rPr>
                <w:lang w:val="uk-UA"/>
              </w:rPr>
              <w:t>- заболочування становить понад 20 відсотків площі земельної ділянки.</w:t>
            </w:r>
          </w:p>
          <w:p w:rsidR="00DB69DE" w:rsidRPr="00DB69DE" w:rsidRDefault="00DB69DE" w:rsidP="00582DB0">
            <w:pPr>
              <w:spacing w:after="0" w:line="240" w:lineRule="auto"/>
              <w:rPr>
                <w:lang w:val="uk-UA"/>
              </w:rPr>
            </w:pPr>
            <w:r w:rsidRPr="00DB69DE">
              <w:rPr>
                <w:lang w:val="uk-UA"/>
              </w:rPr>
              <w:t xml:space="preserve">2. У разі встановлення факту не використання за цільовим призначенням земельної ділянки сільськогосподарського призначення, що передана у власність для ведення товарного сільськогосподарського виробництва, державний інспектор сільського господарства складає протокол про порушення та видає власнику земельної ділянки вказівку (припис) про вжиття заходів щодо його усунення у шестимісячний строк.  Якщо власник земельної ділянки не виконав протягом зазначеного строку вказівки (припису) державного інспектора, державний інспектор сільського господарства відповідно до закону накладає на таку особу адміністративне стягнення та повторно видає вказівку (припис) про припинення правопорушення чи усунення його наслідків у шестимісячний строк. </w:t>
            </w:r>
          </w:p>
          <w:p w:rsidR="00DB69DE" w:rsidRPr="00DB69DE" w:rsidRDefault="00DB69DE" w:rsidP="00582DB0">
            <w:pPr>
              <w:spacing w:after="0" w:line="240" w:lineRule="auto"/>
            </w:pPr>
            <w:r w:rsidRPr="00DB69DE">
              <w:rPr>
                <w:lang w:val="uk-UA"/>
              </w:rPr>
              <w:t>3. У разі невжиття заходів щодо усунення власником порушення земельного законодавства у шестимісячний строк з дати одержання повторної вказівки (припису), державна інспекція сільського господарства звертається до суду з позовом про припинення права власності на земельну ділянку сільськогосподарського призначення, яка була передана для ведення товарного сільськогосподарського виробництва</w:t>
            </w:r>
          </w:p>
        </w:tc>
        <w:tc>
          <w:tcPr>
            <w:tcW w:w="744" w:type="pct"/>
          </w:tcPr>
          <w:p w:rsidR="00DB69DE" w:rsidRPr="00A6087D" w:rsidRDefault="00DB69DE" w:rsidP="00582DB0">
            <w:pPr>
              <w:spacing w:after="0" w:line="240" w:lineRule="auto"/>
              <w:rPr>
                <w:b/>
                <w:lang w:val="uk-UA"/>
              </w:rPr>
            </w:pPr>
            <w:r w:rsidRPr="00A6087D">
              <w:rPr>
                <w:rFonts w:eastAsia="Times New Roman" w:cs="Courier New"/>
                <w:b/>
                <w:color w:val="000000"/>
                <w:lang w:val="uk-UA" w:eastAsia="ru-RU"/>
              </w:rPr>
              <w:lastRenderedPageBreak/>
              <w:t>Порушення балансу інтересів</w:t>
            </w:r>
          </w:p>
        </w:tc>
        <w:tc>
          <w:tcPr>
            <w:tcW w:w="1155" w:type="pct"/>
          </w:tcPr>
          <w:p w:rsidR="00DB69DE" w:rsidRPr="00DB69DE" w:rsidRDefault="00DB69DE" w:rsidP="00582DB0">
            <w:pPr>
              <w:spacing w:after="0" w:line="240" w:lineRule="auto"/>
              <w:rPr>
                <w:lang w:val="uk-UA"/>
              </w:rPr>
            </w:pPr>
            <w:r w:rsidRPr="00DB69DE">
              <w:rPr>
                <w:lang w:val="uk-UA"/>
              </w:rPr>
              <w:t xml:space="preserve">Пропоновані зміни мають потенціал ускладнити захист власних інтересів добросовісними власниками земельних паїв і схилятимуть їх до корупційних стосунків з державними інспекційними органами. З іншого боку, можливе виникнення корупційних змов між орендарями земельних ділянок та представниками органів місцевого самоврядування та державних адміністрацій. Пропонований проектом механізм дає можливість позбавити особу права власності на земельну ділянку у випадку нецільового використання даної ділянки </w:t>
            </w:r>
            <w:r w:rsidRPr="00DB69DE">
              <w:rPr>
                <w:i/>
                <w:lang w:val="uk-UA"/>
              </w:rPr>
              <w:t>іншою</w:t>
            </w:r>
            <w:r w:rsidRPr="00DB69DE">
              <w:rPr>
                <w:lang w:val="uk-UA"/>
              </w:rPr>
              <w:t xml:space="preserve"> особою (орендарем). Навіть намагаючись добросовісно виконати приписи державного інспектора сільського господарства щодо використання земельної ділянки за цільовим призначенням, власник, у випадку </w:t>
            </w:r>
            <w:r w:rsidRPr="00DB69DE">
              <w:rPr>
                <w:lang w:val="uk-UA"/>
              </w:rPr>
              <w:lastRenderedPageBreak/>
              <w:t>спротиву з боку орендаря, може не встигнути розірвати договір оренди з недобросовісним орендарем та укласти договір з новим орендарем, який би виконував умови приписів у визначені законопроектом терміни.</w:t>
            </w:r>
          </w:p>
        </w:tc>
        <w:tc>
          <w:tcPr>
            <w:tcW w:w="878" w:type="pct"/>
          </w:tcPr>
          <w:p w:rsidR="00DB69DE" w:rsidRPr="00DB69DE" w:rsidRDefault="00DB69DE" w:rsidP="00582DB0">
            <w:pPr>
              <w:spacing w:after="0" w:line="240" w:lineRule="auto"/>
              <w:rPr>
                <w:lang w:val="uk-UA"/>
              </w:rPr>
            </w:pPr>
            <w:r w:rsidRPr="00DB69DE">
              <w:rPr>
                <w:lang w:val="uk-UA"/>
              </w:rPr>
              <w:lastRenderedPageBreak/>
              <w:t xml:space="preserve">Пропоновані норми потребують </w:t>
            </w:r>
            <w:proofErr w:type="spellStart"/>
            <w:r w:rsidRPr="00DB69DE">
              <w:rPr>
                <w:lang w:val="uk-UA"/>
              </w:rPr>
              <w:t>доопрацюваня</w:t>
            </w:r>
            <w:proofErr w:type="spellEnd"/>
            <w:r w:rsidRPr="00DB69DE">
              <w:rPr>
                <w:lang w:val="uk-UA"/>
              </w:rPr>
              <w:t xml:space="preserve"> з тим, аби встановити пропорційну та достатню відповідальність власника та землекористувача за невикористання земельної ділянки за цільовим призначенням: відповідальність власника може полягати у тому, аби протягом розумного терміну часу знайти ефективного землекористувача для ділянки (орендаря), або ведення сільськогосподарського виробництва самостійно; використання ділянки за цільовим призначенням – відповідальність землекористувача. </w:t>
            </w:r>
          </w:p>
        </w:tc>
      </w:tr>
    </w:tbl>
    <w:p w:rsidR="0017345D" w:rsidRPr="00577905" w:rsidRDefault="0017345D" w:rsidP="0017345D">
      <w:pPr>
        <w:spacing w:before="120" w:after="0" w:line="240" w:lineRule="auto"/>
        <w:rPr>
          <w:b/>
          <w:sz w:val="24"/>
          <w:szCs w:val="24"/>
          <w:lang w:val="uk-UA"/>
        </w:rPr>
      </w:pPr>
    </w:p>
    <w:sectPr w:rsidR="0017345D" w:rsidRPr="00577905" w:rsidSect="00DB69DE">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47EDB"/>
    <w:multiLevelType w:val="hybridMultilevel"/>
    <w:tmpl w:val="57D87358"/>
    <w:lvl w:ilvl="0" w:tplc="998CF5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7B6268"/>
    <w:multiLevelType w:val="hybridMultilevel"/>
    <w:tmpl w:val="A43654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A4B06"/>
    <w:rsid w:val="00004590"/>
    <w:rsid w:val="000F5058"/>
    <w:rsid w:val="00107C33"/>
    <w:rsid w:val="0015489A"/>
    <w:rsid w:val="00160681"/>
    <w:rsid w:val="001728DD"/>
    <w:rsid w:val="0017345D"/>
    <w:rsid w:val="001E54A7"/>
    <w:rsid w:val="002A5EEB"/>
    <w:rsid w:val="003A47BE"/>
    <w:rsid w:val="006A66C0"/>
    <w:rsid w:val="00704AFC"/>
    <w:rsid w:val="007427DD"/>
    <w:rsid w:val="00794C03"/>
    <w:rsid w:val="00795FE9"/>
    <w:rsid w:val="007A6856"/>
    <w:rsid w:val="007E0FD4"/>
    <w:rsid w:val="008E5623"/>
    <w:rsid w:val="009B1377"/>
    <w:rsid w:val="009D20BA"/>
    <w:rsid w:val="00A6087D"/>
    <w:rsid w:val="00AB5977"/>
    <w:rsid w:val="00B66D26"/>
    <w:rsid w:val="00BA4B06"/>
    <w:rsid w:val="00DB69DE"/>
    <w:rsid w:val="00E32A05"/>
    <w:rsid w:val="00E8425A"/>
    <w:rsid w:val="00F07446"/>
    <w:rsid w:val="00F27875"/>
    <w:rsid w:val="00F876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4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3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17345D"/>
    <w:rPr>
      <w:color w:val="0000FF"/>
      <w:u w:val="single"/>
    </w:rPr>
  </w:style>
  <w:style w:type="paragraph" w:styleId="a5">
    <w:name w:val="List Paragraph"/>
    <w:basedOn w:val="a"/>
    <w:uiPriority w:val="34"/>
    <w:qFormat/>
    <w:rsid w:val="0017345D"/>
    <w:pPr>
      <w:ind w:left="720"/>
      <w:contextualSpacing/>
    </w:pPr>
  </w:style>
  <w:style w:type="table" w:styleId="a6">
    <w:name w:val="Light Shading"/>
    <w:basedOn w:val="a1"/>
    <w:uiPriority w:val="60"/>
    <w:rsid w:val="0017345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7">
    <w:name w:val="Normal (Web)"/>
    <w:basedOn w:val="a"/>
    <w:uiPriority w:val="99"/>
    <w:rsid w:val="00795FE9"/>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1.c1.rada.gov.ua/pls/zweb2/webproc4_1?pf3511=479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6</Pages>
  <Words>1698</Words>
  <Characters>9683</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grain</dc:creator>
  <cp:lastModifiedBy>grain</cp:lastModifiedBy>
  <cp:revision>35</cp:revision>
  <dcterms:created xsi:type="dcterms:W3CDTF">2013-10-21T11:16:00Z</dcterms:created>
  <dcterms:modified xsi:type="dcterms:W3CDTF">2013-10-28T16:04:00Z</dcterms:modified>
</cp:coreProperties>
</file>